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0" w:afterAutospacing="0" w:line="240" w:lineRule="auto"/>
        <w:ind w:firstLine="482"/>
        <w:jc w:val="center"/>
        <w:rPr>
          <w:rFonts w:ascii="仿宋" w:hAnsi="仿宋" w:eastAsia="仿宋"/>
          <w:b/>
        </w:rPr>
      </w:pPr>
    </w:p>
    <w:p>
      <w:pPr>
        <w:spacing w:beforeLines="0" w:after="0" w:afterAutospacing="0" w:line="240" w:lineRule="auto"/>
        <w:ind w:firstLine="482"/>
        <w:jc w:val="center"/>
        <w:rPr>
          <w:rFonts w:ascii="仿宋" w:hAnsi="仿宋" w:eastAsia="仿宋"/>
          <w:b/>
        </w:rPr>
      </w:pPr>
    </w:p>
    <w:p>
      <w:pPr>
        <w:spacing w:beforeLines="0" w:after="0" w:afterAutospacing="0" w:line="240" w:lineRule="auto"/>
        <w:ind w:firstLine="482"/>
        <w:jc w:val="center"/>
        <w:rPr>
          <w:rStyle w:val="16"/>
          <w:rFonts w:ascii="仿宋" w:hAnsi="仿宋" w:eastAsia="仿宋"/>
        </w:rPr>
      </w:pPr>
    </w:p>
    <w:p>
      <w:pPr>
        <w:spacing w:beforeLines="0" w:after="0" w:afterAutospacing="0" w:line="240" w:lineRule="auto"/>
        <w:ind w:firstLine="482"/>
        <w:jc w:val="center"/>
        <w:rPr>
          <w:rStyle w:val="16"/>
          <w:rFonts w:ascii="仿宋" w:hAnsi="仿宋" w:eastAsia="仿宋"/>
        </w:rPr>
      </w:pPr>
    </w:p>
    <w:p>
      <w:pPr>
        <w:spacing w:beforeLines="0" w:after="0" w:afterAutospacing="0" w:line="240" w:lineRule="auto"/>
        <w:ind w:firstLine="482"/>
        <w:jc w:val="center"/>
        <w:rPr>
          <w:rStyle w:val="16"/>
          <w:rFonts w:ascii="仿宋" w:hAnsi="仿宋" w:eastAsia="仿宋"/>
        </w:rPr>
      </w:pPr>
    </w:p>
    <w:p>
      <w:pPr>
        <w:spacing w:beforeLines="0" w:after="0" w:afterAutospacing="0" w:line="240" w:lineRule="auto"/>
        <w:ind w:firstLine="482"/>
        <w:jc w:val="center"/>
        <w:rPr>
          <w:rStyle w:val="16"/>
          <w:rFonts w:ascii="仿宋" w:hAnsi="仿宋" w:eastAsia="仿宋"/>
        </w:rPr>
      </w:pPr>
    </w:p>
    <w:p>
      <w:pPr>
        <w:spacing w:beforeLines="0" w:after="0" w:afterAutospacing="0" w:line="240" w:lineRule="auto"/>
        <w:ind w:firstLine="482"/>
        <w:jc w:val="center"/>
        <w:rPr>
          <w:rStyle w:val="16"/>
          <w:rFonts w:ascii="仿宋" w:hAnsi="仿宋" w:eastAsia="仿宋"/>
        </w:rPr>
      </w:pPr>
    </w:p>
    <w:p>
      <w:pPr>
        <w:spacing w:beforeLines="0" w:after="0" w:afterAutospacing="0" w:line="240" w:lineRule="auto"/>
        <w:ind w:firstLine="482"/>
        <w:jc w:val="center"/>
        <w:rPr>
          <w:rStyle w:val="16"/>
          <w:rFonts w:ascii="仿宋" w:hAnsi="仿宋" w:eastAsia="仿宋"/>
        </w:rPr>
      </w:pPr>
    </w:p>
    <w:p>
      <w:pPr>
        <w:spacing w:beforeLines="0" w:after="0" w:afterAutospacing="0" w:line="240" w:lineRule="auto"/>
        <w:ind w:firstLine="482"/>
        <w:jc w:val="center"/>
        <w:rPr>
          <w:rStyle w:val="16"/>
          <w:rFonts w:ascii="仿宋" w:hAnsi="仿宋" w:eastAsia="仿宋"/>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2" w:firstLineChars="100"/>
        <w:jc w:val="center"/>
        <w:rPr>
          <w:rFonts w:ascii="仿宋" w:hAnsi="仿宋" w:eastAsia="仿宋"/>
          <w:b/>
          <w:sz w:val="48"/>
        </w:rPr>
      </w:pPr>
      <w:r>
        <w:rPr>
          <w:rFonts w:hint="eastAsia" w:ascii="仿宋" w:hAnsi="仿宋" w:eastAsia="仿宋"/>
          <w:b/>
          <w:bCs/>
          <w:sz w:val="48"/>
        </w:rPr>
        <w:t>数控技术应用专业人才培养方案</w:t>
      </w:r>
    </w:p>
    <w:p>
      <w:pPr>
        <w:spacing w:beforeLines="0" w:after="0" w:afterAutospacing="0" w:line="240" w:lineRule="auto"/>
        <w:ind w:firstLine="482"/>
        <w:jc w:val="center"/>
        <w:rPr>
          <w:rStyle w:val="16"/>
          <w:rFonts w:ascii="仿宋" w:hAnsi="仿宋" w:eastAsia="仿宋"/>
        </w:rPr>
      </w:pPr>
      <w:r>
        <w:rPr>
          <w:rStyle w:val="16"/>
          <w:rFonts w:hint="eastAsia" w:ascii="仿宋" w:hAnsi="仿宋" w:eastAsia="仿宋"/>
        </w:rPr>
        <w:t>（适用于20</w:t>
      </w:r>
      <w:r>
        <w:rPr>
          <w:rStyle w:val="16"/>
          <w:rFonts w:ascii="仿宋" w:hAnsi="仿宋" w:eastAsia="仿宋"/>
        </w:rPr>
        <w:t>2</w:t>
      </w:r>
      <w:r>
        <w:rPr>
          <w:rStyle w:val="16"/>
          <w:rFonts w:hint="eastAsia" w:ascii="仿宋" w:hAnsi="仿宋" w:eastAsia="仿宋"/>
        </w:rPr>
        <w:t>1级）</w:t>
      </w: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2"/>
        <w:rPr>
          <w:rFonts w:ascii="仿宋" w:hAnsi="仿宋" w:eastAsia="仿宋"/>
          <w:b/>
        </w:rPr>
      </w:pPr>
    </w:p>
    <w:p>
      <w:pPr>
        <w:spacing w:beforeLines="0" w:after="0" w:afterAutospacing="0" w:line="240" w:lineRule="auto"/>
        <w:ind w:firstLine="482"/>
        <w:jc w:val="center"/>
        <w:rPr>
          <w:rFonts w:ascii="仿宋" w:hAnsi="仿宋" w:eastAsia="仿宋"/>
          <w:b/>
        </w:rPr>
      </w:pPr>
      <w:r>
        <w:rPr>
          <w:rFonts w:hint="eastAsia" w:ascii="仿宋" w:hAnsi="仿宋" w:eastAsia="仿宋"/>
          <w:b/>
        </w:rPr>
        <w:t>2021年</w:t>
      </w:r>
      <w:r>
        <w:rPr>
          <w:rFonts w:ascii="仿宋" w:hAnsi="仿宋" w:eastAsia="仿宋"/>
          <w:b/>
        </w:rPr>
        <w:t>6</w:t>
      </w:r>
      <w:r>
        <w:rPr>
          <w:rFonts w:hint="eastAsia" w:ascii="仿宋" w:hAnsi="仿宋" w:eastAsia="仿宋"/>
          <w:b/>
        </w:rPr>
        <w:t>月修订</w:t>
      </w:r>
    </w:p>
    <w:sdt>
      <w:sdtPr>
        <w:rPr>
          <w:rFonts w:ascii="Times New Roman" w:hAnsi="Times New Roman" w:eastAsia="宋体" w:cs="Times New Roman"/>
          <w:color w:val="auto"/>
          <w:kern w:val="2"/>
          <w:sz w:val="24"/>
          <w:szCs w:val="24"/>
          <w:lang w:val="zh-CN"/>
        </w:rPr>
        <w:id w:val="-1330055762"/>
        <w:docPartObj>
          <w:docPartGallery w:val="Table of Contents"/>
          <w:docPartUnique/>
        </w:docPartObj>
      </w:sdtPr>
      <w:sdtEndPr>
        <w:rPr>
          <w:rFonts w:ascii="Times New Roman" w:hAnsi="Times New Roman" w:eastAsia="宋体" w:cs="Times New Roman"/>
          <w:b/>
          <w:bCs/>
          <w:color w:val="auto"/>
          <w:kern w:val="2"/>
          <w:sz w:val="24"/>
          <w:szCs w:val="24"/>
          <w:lang w:val="zh-CN"/>
        </w:rPr>
      </w:sdtEndPr>
      <w:sdtContent>
        <w:p>
          <w:pPr>
            <w:pStyle w:val="32"/>
            <w:spacing w:before="156" w:line="240" w:lineRule="auto"/>
            <w:ind w:firstLine="480"/>
            <w:jc w:val="center"/>
          </w:pPr>
          <w:r>
            <w:rPr>
              <w:lang w:val="zh-CN"/>
            </w:rPr>
            <w:t>目录</w:t>
          </w:r>
        </w:p>
        <w:p>
          <w:pPr>
            <w:pStyle w:val="8"/>
            <w:spacing w:before="163"/>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"_Toc135351534" </w:instrText>
          </w:r>
          <w:r>
            <w:fldChar w:fldCharType="separate"/>
          </w:r>
          <w:r>
            <w:rPr>
              <w:rStyle w:val="15"/>
            </w:rPr>
            <w:t>一、专业名称及代码</w:t>
          </w:r>
          <w:r>
            <w:tab/>
          </w:r>
          <w:r>
            <w:fldChar w:fldCharType="begin"/>
          </w:r>
          <w:r>
            <w:instrText xml:space="preserve"> PAGEREF _Toc135351534 \h </w:instrText>
          </w:r>
          <w:r>
            <w:fldChar w:fldCharType="separate"/>
          </w:r>
          <w:r>
            <w:t>3</w:t>
          </w:r>
          <w:r>
            <w:fldChar w:fldCharType="end"/>
          </w:r>
          <w:r>
            <w:fldChar w:fldCharType="end"/>
          </w:r>
        </w:p>
        <w:p>
          <w:pPr>
            <w:pStyle w:val="8"/>
            <w:spacing w:before="163"/>
            <w:rPr>
              <w:rFonts w:asciiTheme="minorHAnsi" w:hAnsiTheme="minorHAnsi" w:eastAsiaTheme="minorEastAsia" w:cstheme="minorBidi"/>
              <w:sz w:val="21"/>
              <w:szCs w:val="22"/>
            </w:rPr>
          </w:pPr>
          <w:r>
            <w:fldChar w:fldCharType="begin"/>
          </w:r>
          <w:r>
            <w:instrText xml:space="preserve"> HYPERLINK \l "_Toc135351535" </w:instrText>
          </w:r>
          <w:r>
            <w:fldChar w:fldCharType="separate"/>
          </w:r>
          <w:r>
            <w:rPr>
              <w:rStyle w:val="15"/>
            </w:rPr>
            <w:t>二、入学要求</w:t>
          </w:r>
          <w:r>
            <w:tab/>
          </w:r>
          <w:r>
            <w:fldChar w:fldCharType="begin"/>
          </w:r>
          <w:r>
            <w:instrText xml:space="preserve"> PAGEREF _Toc135351535 \h </w:instrText>
          </w:r>
          <w:r>
            <w:fldChar w:fldCharType="separate"/>
          </w:r>
          <w:r>
            <w:t>3</w:t>
          </w:r>
          <w:r>
            <w:fldChar w:fldCharType="end"/>
          </w:r>
          <w:r>
            <w:fldChar w:fldCharType="end"/>
          </w:r>
        </w:p>
        <w:p>
          <w:pPr>
            <w:pStyle w:val="8"/>
            <w:spacing w:before="163"/>
            <w:rPr>
              <w:rFonts w:asciiTheme="minorHAnsi" w:hAnsiTheme="minorHAnsi" w:eastAsiaTheme="minorEastAsia" w:cstheme="minorBidi"/>
              <w:sz w:val="21"/>
              <w:szCs w:val="22"/>
            </w:rPr>
          </w:pPr>
          <w:r>
            <w:fldChar w:fldCharType="begin"/>
          </w:r>
          <w:r>
            <w:instrText xml:space="preserve"> HYPERLINK \l "_Toc135351536" </w:instrText>
          </w:r>
          <w:r>
            <w:fldChar w:fldCharType="separate"/>
          </w:r>
          <w:r>
            <w:rPr>
              <w:rStyle w:val="15"/>
            </w:rPr>
            <w:t>三、修业年限</w:t>
          </w:r>
          <w:r>
            <w:tab/>
          </w:r>
          <w:r>
            <w:fldChar w:fldCharType="begin"/>
          </w:r>
          <w:r>
            <w:instrText xml:space="preserve"> PAGEREF _Toc135351536 \h </w:instrText>
          </w:r>
          <w:r>
            <w:fldChar w:fldCharType="separate"/>
          </w:r>
          <w:r>
            <w:t>3</w:t>
          </w:r>
          <w:r>
            <w:fldChar w:fldCharType="end"/>
          </w:r>
          <w:r>
            <w:fldChar w:fldCharType="end"/>
          </w:r>
        </w:p>
        <w:p>
          <w:pPr>
            <w:pStyle w:val="8"/>
            <w:spacing w:before="163"/>
            <w:rPr>
              <w:rFonts w:asciiTheme="minorHAnsi" w:hAnsiTheme="minorHAnsi" w:eastAsiaTheme="minorEastAsia" w:cstheme="minorBidi"/>
              <w:sz w:val="21"/>
              <w:szCs w:val="22"/>
            </w:rPr>
          </w:pPr>
          <w:r>
            <w:fldChar w:fldCharType="begin"/>
          </w:r>
          <w:r>
            <w:instrText xml:space="preserve"> HYPERLINK \l "_Toc135351537" </w:instrText>
          </w:r>
          <w:r>
            <w:fldChar w:fldCharType="separate"/>
          </w:r>
          <w:r>
            <w:rPr>
              <w:rStyle w:val="15"/>
            </w:rPr>
            <w:t>四、职业面向</w:t>
          </w:r>
          <w:r>
            <w:tab/>
          </w:r>
          <w:r>
            <w:fldChar w:fldCharType="begin"/>
          </w:r>
          <w:r>
            <w:instrText xml:space="preserve"> PAGEREF _Toc135351537 \h </w:instrText>
          </w:r>
          <w:r>
            <w:fldChar w:fldCharType="separate"/>
          </w:r>
          <w:r>
            <w:t>3</w:t>
          </w:r>
          <w:r>
            <w:fldChar w:fldCharType="end"/>
          </w:r>
          <w:r>
            <w:fldChar w:fldCharType="end"/>
          </w:r>
        </w:p>
        <w:p>
          <w:pPr>
            <w:pStyle w:val="8"/>
            <w:spacing w:before="163"/>
            <w:rPr>
              <w:rFonts w:asciiTheme="minorHAnsi" w:hAnsiTheme="minorHAnsi" w:eastAsiaTheme="minorEastAsia" w:cstheme="minorBidi"/>
              <w:sz w:val="21"/>
              <w:szCs w:val="22"/>
            </w:rPr>
          </w:pPr>
          <w:r>
            <w:fldChar w:fldCharType="begin"/>
          </w:r>
          <w:r>
            <w:instrText xml:space="preserve"> HYPERLINK \l "_Toc135351538" </w:instrText>
          </w:r>
          <w:r>
            <w:fldChar w:fldCharType="separate"/>
          </w:r>
          <w:r>
            <w:rPr>
              <w:rStyle w:val="15"/>
            </w:rPr>
            <w:t>五、培养目标与培养规格</w:t>
          </w:r>
          <w:r>
            <w:tab/>
          </w:r>
          <w:r>
            <w:fldChar w:fldCharType="begin"/>
          </w:r>
          <w:r>
            <w:instrText xml:space="preserve"> PAGEREF _Toc135351538 \h </w:instrText>
          </w:r>
          <w:r>
            <w:fldChar w:fldCharType="separate"/>
          </w:r>
          <w:r>
            <w:t>3</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"_Toc135351539" </w:instrText>
          </w:r>
          <w:r>
            <w:fldChar w:fldCharType="separate"/>
          </w:r>
          <w:r>
            <w:rPr>
              <w:rStyle w:val="15"/>
            </w:rPr>
            <w:t>（一）培养目标</w:t>
          </w:r>
          <w:r>
            <w:tab/>
          </w:r>
          <w:r>
            <w:fldChar w:fldCharType="begin"/>
          </w:r>
          <w:r>
            <w:instrText xml:space="preserve"> PAGEREF _Toc135351539 \h </w:instrText>
          </w:r>
          <w:r>
            <w:fldChar w:fldCharType="separate"/>
          </w:r>
          <w:r>
            <w:t>3</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"_Toc135351540" </w:instrText>
          </w:r>
          <w:r>
            <w:fldChar w:fldCharType="separate"/>
          </w:r>
          <w:r>
            <w:rPr>
              <w:rStyle w:val="15"/>
            </w:rPr>
            <w:t>（二）培养规格</w:t>
          </w:r>
          <w:r>
            <w:tab/>
          </w:r>
          <w:r>
            <w:fldChar w:fldCharType="begin"/>
          </w:r>
          <w:r>
            <w:instrText xml:space="preserve"> PAGEREF _Toc135351540 \h </w:instrText>
          </w:r>
          <w:r>
            <w:fldChar w:fldCharType="separate"/>
          </w:r>
          <w:r>
            <w:t>3</w:t>
          </w:r>
          <w:r>
            <w:fldChar w:fldCharType="end"/>
          </w:r>
          <w:r>
            <w:fldChar w:fldCharType="end"/>
          </w:r>
        </w:p>
        <w:p>
          <w:pPr>
            <w:pStyle w:val="8"/>
            <w:spacing w:before="163"/>
            <w:rPr>
              <w:rFonts w:asciiTheme="minorHAnsi" w:hAnsiTheme="minorHAnsi" w:eastAsiaTheme="minorEastAsia" w:cstheme="minorBidi"/>
              <w:sz w:val="21"/>
              <w:szCs w:val="22"/>
            </w:rPr>
          </w:pPr>
          <w:r>
            <w:fldChar w:fldCharType="begin"/>
          </w:r>
          <w:r>
            <w:instrText xml:space="preserve"> HYPERLINK \l "_Toc135351541" </w:instrText>
          </w:r>
          <w:r>
            <w:fldChar w:fldCharType="separate"/>
          </w:r>
          <w:r>
            <w:rPr>
              <w:rStyle w:val="15"/>
            </w:rPr>
            <w:t>六、课程设置及要求</w:t>
          </w:r>
          <w:r>
            <w:tab/>
          </w:r>
          <w:r>
            <w:fldChar w:fldCharType="begin"/>
          </w:r>
          <w:r>
            <w:instrText xml:space="preserve"> PAGEREF _Toc135351541 \h </w:instrText>
          </w:r>
          <w:r>
            <w:fldChar w:fldCharType="separate"/>
          </w:r>
          <w:r>
            <w:t>5</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"_Toc135351542" </w:instrText>
          </w:r>
          <w:r>
            <w:fldChar w:fldCharType="separate"/>
          </w:r>
          <w:r>
            <w:rPr>
              <w:rStyle w:val="15"/>
            </w:rPr>
            <w:t>（一）公共基础课程</w:t>
          </w:r>
          <w:r>
            <w:tab/>
          </w:r>
          <w:r>
            <w:fldChar w:fldCharType="begin"/>
          </w:r>
          <w:r>
            <w:instrText xml:space="preserve"> PAGEREF _Toc135351542 \h </w:instrText>
          </w:r>
          <w:r>
            <w:fldChar w:fldCharType="separate"/>
          </w:r>
          <w:r>
            <w:t>5</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"_Toc135351543" </w:instrText>
          </w:r>
          <w:r>
            <w:fldChar w:fldCharType="separate"/>
          </w:r>
          <w:r>
            <w:rPr>
              <w:rStyle w:val="15"/>
            </w:rPr>
            <w:t>（二）</w:t>
          </w:r>
          <w:r>
            <w:rPr>
              <w:rStyle w:val="15"/>
              <w:rFonts w:ascii="仿宋" w:hAnsi="仿宋" w:eastAsia="仿宋"/>
            </w:rPr>
            <w:t>专业核心课</w:t>
          </w:r>
          <w:r>
            <w:tab/>
          </w:r>
          <w:r>
            <w:fldChar w:fldCharType="begin"/>
          </w:r>
          <w:r>
            <w:instrText xml:space="preserve"> PAGEREF _Toc135351543 \h </w:instrText>
          </w:r>
          <w:r>
            <w:fldChar w:fldCharType="separate"/>
          </w:r>
          <w:r>
            <w:t>17</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"_Toc135351544" </w:instrText>
          </w:r>
          <w:r>
            <w:fldChar w:fldCharType="separate"/>
          </w:r>
          <w:r>
            <w:rPr>
              <w:rStyle w:val="15"/>
            </w:rPr>
            <w:t>（三）专业技能课</w:t>
          </w:r>
          <w:r>
            <w:tab/>
          </w:r>
          <w:r>
            <w:fldChar w:fldCharType="begin"/>
          </w:r>
          <w:r>
            <w:instrText xml:space="preserve"> PAGEREF _Toc135351544 \h </w:instrText>
          </w:r>
          <w:r>
            <w:fldChar w:fldCharType="separate"/>
          </w:r>
          <w:r>
            <w:t>19</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"_Toc135351545" </w:instrText>
          </w:r>
          <w:r>
            <w:fldChar w:fldCharType="separate"/>
          </w:r>
          <w:r>
            <w:rPr>
              <w:rStyle w:val="15"/>
            </w:rPr>
            <w:t>（四）专业选修课</w:t>
          </w:r>
          <w:r>
            <w:tab/>
          </w:r>
          <w:r>
            <w:fldChar w:fldCharType="begin"/>
          </w:r>
          <w:r>
            <w:instrText xml:space="preserve"> PAGEREF _Toc135351545 \h </w:instrText>
          </w:r>
          <w:r>
            <w:fldChar w:fldCharType="separate"/>
          </w:r>
          <w:r>
            <w:t>21</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"_Toc135351546" </w:instrText>
          </w:r>
          <w:r>
            <w:fldChar w:fldCharType="separate"/>
          </w:r>
          <w:r>
            <w:rPr>
              <w:rStyle w:val="15"/>
            </w:rPr>
            <w:t>（五）素质选修课</w:t>
          </w:r>
          <w:r>
            <w:tab/>
          </w:r>
          <w:r>
            <w:fldChar w:fldCharType="begin"/>
          </w:r>
          <w:r>
            <w:instrText xml:space="preserve"> PAGEREF _Toc135351546 \h </w:instrText>
          </w:r>
          <w:r>
            <w:fldChar w:fldCharType="separate"/>
          </w:r>
          <w:r>
            <w:t>23</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"_Toc135351547" </w:instrText>
          </w:r>
          <w:r>
            <w:fldChar w:fldCharType="separate"/>
          </w:r>
          <w:r>
            <w:rPr>
              <w:rStyle w:val="15"/>
            </w:rPr>
            <w:t>（六）综合实训</w:t>
          </w:r>
          <w:r>
            <w:tab/>
          </w:r>
          <w:r>
            <w:fldChar w:fldCharType="begin"/>
          </w:r>
          <w:r>
            <w:instrText xml:space="preserve"> PAGEREF _Toc135351547 \h </w:instrText>
          </w:r>
          <w:r>
            <w:fldChar w:fldCharType="separate"/>
          </w:r>
          <w:r>
            <w:t>24</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"_Toc135351548" </w:instrText>
          </w:r>
          <w:r>
            <w:fldChar w:fldCharType="separate"/>
          </w:r>
          <w:r>
            <w:rPr>
              <w:rStyle w:val="15"/>
            </w:rPr>
            <w:t>（七）顶岗实习</w:t>
          </w:r>
          <w:r>
            <w:tab/>
          </w:r>
          <w:r>
            <w:fldChar w:fldCharType="begin"/>
          </w:r>
          <w:r>
            <w:instrText xml:space="preserve"> PAGEREF _Toc135351548 \h </w:instrText>
          </w:r>
          <w:r>
            <w:fldChar w:fldCharType="separate"/>
          </w:r>
          <w:r>
            <w:t>25</w:t>
          </w:r>
          <w:r>
            <w:fldChar w:fldCharType="end"/>
          </w:r>
          <w:r>
            <w:fldChar w:fldCharType="end"/>
          </w:r>
        </w:p>
        <w:p>
          <w:pPr>
            <w:pStyle w:val="8"/>
            <w:spacing w:before="163"/>
            <w:rPr>
              <w:rFonts w:asciiTheme="minorHAnsi" w:hAnsiTheme="minorHAnsi" w:eastAsiaTheme="minorEastAsia" w:cstheme="minorBidi"/>
              <w:sz w:val="21"/>
              <w:szCs w:val="22"/>
            </w:rPr>
          </w:pPr>
          <w:r>
            <w:fldChar w:fldCharType="begin"/>
          </w:r>
          <w:r>
            <w:instrText xml:space="preserve"> HYPERLINK \l "_Toc135351549" </w:instrText>
          </w:r>
          <w:r>
            <w:fldChar w:fldCharType="separate"/>
          </w:r>
          <w:r>
            <w:rPr>
              <w:rStyle w:val="15"/>
            </w:rPr>
            <w:t>七、教学进程总体安排</w:t>
          </w:r>
          <w:r>
            <w:tab/>
          </w:r>
          <w:r>
            <w:fldChar w:fldCharType="begin"/>
          </w:r>
          <w:r>
            <w:instrText xml:space="preserve"> PAGEREF _Toc135351549 \h </w:instrText>
          </w:r>
          <w:r>
            <w:fldChar w:fldCharType="separate"/>
          </w:r>
          <w:r>
            <w:t>25</w:t>
          </w:r>
          <w:r>
            <w:fldChar w:fldCharType="end"/>
          </w:r>
          <w:r>
            <w:fldChar w:fldCharType="end"/>
          </w:r>
        </w:p>
        <w:p>
          <w:pPr>
            <w:pStyle w:val="8"/>
            <w:spacing w:before="163"/>
            <w:rPr>
              <w:rFonts w:asciiTheme="minorHAnsi" w:hAnsiTheme="minorHAnsi" w:eastAsiaTheme="minorEastAsia" w:cstheme="minorBidi"/>
              <w:sz w:val="21"/>
              <w:szCs w:val="22"/>
            </w:rPr>
          </w:pPr>
          <w:r>
            <w:fldChar w:fldCharType="begin"/>
          </w:r>
          <w:r>
            <w:instrText xml:space="preserve"> HYPERLINK \l "_Toc135351550" </w:instrText>
          </w:r>
          <w:r>
            <w:fldChar w:fldCharType="separate"/>
          </w:r>
          <w:r>
            <w:rPr>
              <w:rStyle w:val="15"/>
            </w:rPr>
            <w:t>八、实施保障</w:t>
          </w:r>
          <w:r>
            <w:tab/>
          </w:r>
          <w:r>
            <w:fldChar w:fldCharType="begin"/>
          </w:r>
          <w:r>
            <w:instrText xml:space="preserve"> PAGEREF _Toc135351550 \h </w:instrText>
          </w:r>
          <w:r>
            <w:fldChar w:fldCharType="separate"/>
          </w:r>
          <w:r>
            <w:t>27</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"_Toc135351551" </w:instrText>
          </w:r>
          <w:r>
            <w:fldChar w:fldCharType="separate"/>
          </w:r>
          <w:r>
            <w:rPr>
              <w:rStyle w:val="15"/>
            </w:rPr>
            <w:t>（一）师资队伍</w:t>
          </w:r>
          <w:r>
            <w:tab/>
          </w:r>
          <w:r>
            <w:fldChar w:fldCharType="begin"/>
          </w:r>
          <w:r>
            <w:instrText xml:space="preserve"> PAGEREF _Toc135351551 \h </w:instrText>
          </w:r>
          <w:r>
            <w:fldChar w:fldCharType="separate"/>
          </w:r>
          <w:r>
            <w:t>27</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"_Toc135351552" </w:instrText>
          </w:r>
          <w:r>
            <w:fldChar w:fldCharType="separate"/>
          </w:r>
          <w:r>
            <w:rPr>
              <w:rStyle w:val="15"/>
            </w:rPr>
            <w:t>（二）教学设施</w:t>
          </w:r>
          <w:r>
            <w:tab/>
          </w:r>
          <w:r>
            <w:fldChar w:fldCharType="begin"/>
          </w:r>
          <w:r>
            <w:instrText xml:space="preserve"> PAGEREF _Toc135351552 \h </w:instrText>
          </w:r>
          <w:r>
            <w:fldChar w:fldCharType="separate"/>
          </w:r>
          <w:r>
            <w:t>28</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"_Toc135351553" </w:instrText>
          </w:r>
          <w:r>
            <w:fldChar w:fldCharType="separate"/>
          </w:r>
          <w:r>
            <w:rPr>
              <w:rStyle w:val="15"/>
            </w:rPr>
            <w:t>（三）教学资源</w:t>
          </w:r>
          <w:r>
            <w:tab/>
          </w:r>
          <w:r>
            <w:fldChar w:fldCharType="begin"/>
          </w:r>
          <w:r>
            <w:instrText xml:space="preserve"> PAGEREF _Toc135351553 \h </w:instrText>
          </w:r>
          <w:r>
            <w:fldChar w:fldCharType="separate"/>
          </w:r>
          <w:r>
            <w:t>28</w:t>
          </w:r>
          <w:r>
            <w:fldChar w:fldCharType="end"/>
          </w:r>
          <w:r>
            <w:fldChar w:fldCharType="end"/>
          </w:r>
        </w:p>
        <w:p>
          <w:pPr>
            <w:pStyle w:val="8"/>
            <w:spacing w:before="163"/>
            <w:rPr>
              <w:rFonts w:asciiTheme="minorHAnsi" w:hAnsiTheme="minorHAnsi" w:eastAsiaTheme="minorEastAsia" w:cstheme="minorBidi"/>
              <w:sz w:val="21"/>
              <w:szCs w:val="22"/>
            </w:rPr>
          </w:pPr>
          <w:r>
            <w:fldChar w:fldCharType="begin"/>
          </w:r>
          <w:r>
            <w:instrText xml:space="preserve"> HYPERLINK \l "_Toc135351554" </w:instrText>
          </w:r>
          <w:r>
            <w:fldChar w:fldCharType="separate"/>
          </w:r>
          <w:r>
            <w:rPr>
              <w:rStyle w:val="15"/>
              <w:rFonts w:ascii="楷体_GB2312" w:hAnsi="宋体" w:eastAsia="楷体_GB2312"/>
            </w:rPr>
            <w:t>（四）教学方法</w:t>
          </w:r>
          <w:r>
            <w:tab/>
          </w:r>
          <w:r>
            <w:fldChar w:fldCharType="begin"/>
          </w:r>
          <w:r>
            <w:instrText xml:space="preserve"> PAGEREF _Toc135351554 \h </w:instrText>
          </w:r>
          <w:r>
            <w:fldChar w:fldCharType="separate"/>
          </w:r>
          <w:r>
            <w:t>29</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"_Toc135351555" </w:instrText>
          </w:r>
          <w:r>
            <w:fldChar w:fldCharType="separate"/>
          </w:r>
          <w:r>
            <w:rPr>
              <w:rStyle w:val="15"/>
            </w:rPr>
            <w:t>（五）教学评价</w:t>
          </w:r>
          <w:r>
            <w:tab/>
          </w:r>
          <w:r>
            <w:fldChar w:fldCharType="begin"/>
          </w:r>
          <w:r>
            <w:instrText xml:space="preserve"> PAGEREF _Toc135351555 \h </w:instrText>
          </w:r>
          <w:r>
            <w:fldChar w:fldCharType="separate"/>
          </w:r>
          <w:r>
            <w:t>29</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"_Toc135351556" </w:instrText>
          </w:r>
          <w:r>
            <w:fldChar w:fldCharType="separate"/>
          </w:r>
          <w:r>
            <w:rPr>
              <w:rStyle w:val="15"/>
            </w:rPr>
            <w:t>（六）质量管理</w:t>
          </w:r>
          <w:r>
            <w:tab/>
          </w:r>
          <w:r>
            <w:fldChar w:fldCharType="begin"/>
          </w:r>
          <w:r>
            <w:instrText xml:space="preserve"> PAGEREF _Toc135351556 \h </w:instrText>
          </w:r>
          <w:r>
            <w:fldChar w:fldCharType="separate"/>
          </w:r>
          <w:r>
            <w:t>29</w:t>
          </w:r>
          <w:r>
            <w:fldChar w:fldCharType="end"/>
          </w:r>
          <w:r>
            <w:fldChar w:fldCharType="end"/>
          </w:r>
        </w:p>
        <w:p>
          <w:pPr>
            <w:pStyle w:val="8"/>
            <w:spacing w:before="163"/>
            <w:rPr>
              <w:rFonts w:asciiTheme="minorHAnsi" w:hAnsiTheme="minorHAnsi" w:eastAsiaTheme="minorEastAsia" w:cstheme="minorBidi"/>
              <w:sz w:val="21"/>
              <w:szCs w:val="22"/>
            </w:rPr>
          </w:pPr>
          <w:r>
            <w:fldChar w:fldCharType="begin"/>
          </w:r>
          <w:r>
            <w:instrText xml:space="preserve"> HYPERLINK \l "_Toc135351557" </w:instrText>
          </w:r>
          <w:r>
            <w:fldChar w:fldCharType="separate"/>
          </w:r>
          <w:r>
            <w:rPr>
              <w:rStyle w:val="15"/>
            </w:rPr>
            <w:t>九、毕业要求</w:t>
          </w:r>
          <w:r>
            <w:tab/>
          </w:r>
          <w:r>
            <w:fldChar w:fldCharType="begin"/>
          </w:r>
          <w:r>
            <w:instrText xml:space="preserve"> PAGEREF _Toc135351557 \h </w:instrText>
          </w:r>
          <w:r>
            <w:fldChar w:fldCharType="separate"/>
          </w:r>
          <w:r>
            <w:t>30</w:t>
          </w:r>
          <w:r>
            <w:fldChar w:fldCharType="end"/>
          </w:r>
          <w:r>
            <w:fldChar w:fldCharType="end"/>
          </w:r>
        </w:p>
        <w:p>
          <w:pPr>
            <w:pStyle w:val="8"/>
            <w:spacing w:before="163"/>
          </w:pPr>
          <w:r>
            <w:fldChar w:fldCharType="begin"/>
          </w:r>
          <w:r>
            <w:instrText xml:space="preserve"> HYPERLINK \l "_Toc135351558" </w:instrText>
          </w:r>
          <w:r>
            <w:fldChar w:fldCharType="separate"/>
          </w:r>
          <w:r>
            <w:rPr>
              <w:rStyle w:val="15"/>
            </w:rPr>
            <w:t>十、附录</w:t>
          </w:r>
          <w:r>
            <w:tab/>
          </w:r>
          <w:r>
            <w:fldChar w:fldCharType="begin"/>
          </w:r>
          <w:r>
            <w:instrText xml:space="preserve"> PAGEREF _Toc135351558 \h </w:instrText>
          </w:r>
          <w:r>
            <w:fldChar w:fldCharType="separate"/>
          </w:r>
          <w:r>
            <w:t>30</w:t>
          </w:r>
          <w:r>
            <w:fldChar w:fldCharType="end"/>
          </w:r>
          <w:r>
            <w:fldChar w:fldCharType="end"/>
          </w:r>
          <w:r>
            <w:rPr>
              <w:b/>
              <w:bCs/>
              <w:lang w:val="zh-CN"/>
            </w:rPr>
            <w:fldChar w:fldCharType="end"/>
          </w:r>
        </w:p>
      </w:sdtContent>
    </w:sdt>
    <w:p>
      <w:pPr>
        <w:pStyle w:val="33"/>
      </w:pPr>
      <w:bookmarkStart w:id="0" w:name="_Toc433961902"/>
      <w:bookmarkStart w:id="1" w:name="_Toc135351534"/>
      <w:bookmarkStart w:id="2" w:name="_Toc16356562"/>
      <w:bookmarkStart w:id="3" w:name="_Toc17216689"/>
      <w:r>
        <w:rPr>
          <w:rFonts w:hint="eastAsia"/>
        </w:rPr>
        <w:t>一、专业名称</w:t>
      </w:r>
      <w:bookmarkEnd w:id="0"/>
      <w:r>
        <w:rPr>
          <w:rFonts w:hint="eastAsia"/>
        </w:rPr>
        <w:t>及代码</w:t>
      </w:r>
      <w:bookmarkEnd w:id="1"/>
      <w:bookmarkEnd w:id="2"/>
      <w:bookmarkEnd w:id="3"/>
    </w:p>
    <w:p>
      <w:pPr>
        <w:pStyle w:val="19"/>
        <w:spacing w:before="0" w:beforeLines="0" w:line="240" w:lineRule="auto"/>
        <w:ind w:firstLine="480"/>
        <w:rPr>
          <w:rFonts w:ascii="仿宋" w:hAnsi="仿宋" w:eastAsia="仿宋"/>
          <w:szCs w:val="24"/>
        </w:rPr>
      </w:pPr>
      <w:r>
        <w:rPr>
          <w:rFonts w:hint="eastAsia" w:ascii="仿宋" w:hAnsi="仿宋" w:eastAsia="仿宋"/>
          <w:szCs w:val="24"/>
        </w:rPr>
        <w:t>专业名称：数控技术应用</w:t>
      </w:r>
    </w:p>
    <w:p>
      <w:pPr>
        <w:pStyle w:val="19"/>
        <w:spacing w:before="0" w:beforeLines="0" w:line="240" w:lineRule="auto"/>
        <w:ind w:firstLine="480"/>
        <w:rPr>
          <w:rFonts w:ascii="仿宋" w:hAnsi="仿宋" w:eastAsia="仿宋"/>
          <w:szCs w:val="24"/>
        </w:rPr>
      </w:pPr>
      <w:r>
        <w:rPr>
          <w:rFonts w:hint="eastAsia" w:ascii="仿宋" w:hAnsi="仿宋" w:eastAsia="仿宋"/>
          <w:szCs w:val="24"/>
        </w:rPr>
        <w:t>专业代码：</w:t>
      </w:r>
      <w:r>
        <w:rPr>
          <w:rFonts w:ascii="仿宋" w:hAnsi="仿宋" w:eastAsia="仿宋"/>
          <w:szCs w:val="24"/>
        </w:rPr>
        <w:t>660103</w:t>
      </w:r>
    </w:p>
    <w:p>
      <w:pPr>
        <w:pStyle w:val="33"/>
      </w:pPr>
      <w:bookmarkStart w:id="4" w:name="_Toc433961903"/>
      <w:bookmarkStart w:id="5" w:name="_Toc135351535"/>
      <w:bookmarkStart w:id="6" w:name="_Toc17216690"/>
      <w:bookmarkStart w:id="7" w:name="_Toc16356563"/>
      <w:r>
        <w:rPr>
          <w:rFonts w:hint="eastAsia"/>
        </w:rPr>
        <w:t>二、</w:t>
      </w:r>
      <w:bookmarkEnd w:id="4"/>
      <w:r>
        <w:rPr>
          <w:rFonts w:hint="eastAsia"/>
        </w:rPr>
        <w:t>入学要求</w:t>
      </w:r>
      <w:bookmarkEnd w:id="5"/>
      <w:bookmarkEnd w:id="6"/>
      <w:bookmarkEnd w:id="7"/>
    </w:p>
    <w:p>
      <w:pPr>
        <w:pStyle w:val="19"/>
        <w:spacing w:before="0" w:beforeLines="0" w:line="240" w:lineRule="auto"/>
        <w:ind w:firstLine="480"/>
        <w:rPr>
          <w:rFonts w:ascii="仿宋" w:hAnsi="仿宋" w:eastAsia="仿宋"/>
          <w:szCs w:val="24"/>
        </w:rPr>
      </w:pPr>
      <w:r>
        <w:rPr>
          <w:rFonts w:hint="eastAsia" w:ascii="仿宋" w:hAnsi="仿宋" w:eastAsia="仿宋"/>
          <w:szCs w:val="24"/>
        </w:rPr>
        <w:t>初中毕业生或具同等学力者。</w:t>
      </w:r>
    </w:p>
    <w:p>
      <w:pPr>
        <w:pStyle w:val="33"/>
      </w:pPr>
      <w:bookmarkStart w:id="8" w:name="_Toc433961904"/>
      <w:bookmarkStart w:id="9" w:name="_Toc16356564"/>
      <w:bookmarkStart w:id="10" w:name="_Toc17216691"/>
      <w:bookmarkStart w:id="11" w:name="_Toc135351536"/>
      <w:r>
        <w:rPr>
          <w:rFonts w:hint="eastAsia"/>
        </w:rPr>
        <w:t>三、</w:t>
      </w:r>
      <w:bookmarkEnd w:id="8"/>
      <w:r>
        <w:rPr>
          <w:rFonts w:hint="eastAsia"/>
        </w:rPr>
        <w:t>修业年限</w:t>
      </w:r>
      <w:bookmarkEnd w:id="9"/>
      <w:bookmarkEnd w:id="10"/>
      <w:bookmarkEnd w:id="11"/>
    </w:p>
    <w:p>
      <w:pPr>
        <w:pStyle w:val="19"/>
        <w:spacing w:before="0" w:beforeLines="0" w:line="240" w:lineRule="auto"/>
        <w:ind w:firstLine="480"/>
        <w:rPr>
          <w:rFonts w:ascii="仿宋" w:hAnsi="仿宋" w:eastAsia="仿宋"/>
          <w:szCs w:val="24"/>
        </w:rPr>
      </w:pPr>
      <w:r>
        <w:rPr>
          <w:rFonts w:hint="eastAsia" w:ascii="仿宋" w:hAnsi="仿宋" w:eastAsia="仿宋"/>
          <w:szCs w:val="24"/>
        </w:rPr>
        <w:t>3年。</w:t>
      </w:r>
    </w:p>
    <w:p>
      <w:pPr>
        <w:pStyle w:val="33"/>
      </w:pPr>
      <w:bookmarkStart w:id="12" w:name="_Toc16356565"/>
      <w:bookmarkStart w:id="13" w:name="_Toc135351537"/>
      <w:bookmarkStart w:id="14" w:name="_Toc17216692"/>
      <w:bookmarkStart w:id="15" w:name="_Toc433961905"/>
      <w:r>
        <w:rPr>
          <w:rFonts w:hint="eastAsia"/>
        </w:rPr>
        <w:t>四、职业面向</w:t>
      </w:r>
      <w:bookmarkEnd w:id="12"/>
      <w:bookmarkEnd w:id="13"/>
      <w:bookmarkEnd w:id="14"/>
    </w:p>
    <w:p>
      <w:pPr>
        <w:adjustRightInd w:val="0"/>
        <w:snapToGrid w:val="0"/>
        <w:spacing w:beforeLines="0" w:after="0" w:afterAutospacing="0" w:line="240" w:lineRule="auto"/>
        <w:ind w:firstLine="480"/>
        <w:jc w:val="center"/>
        <w:rPr>
          <w:rFonts w:ascii="仿宋" w:hAnsi="仿宋" w:eastAsia="仿宋"/>
          <w:color w:val="000000"/>
        </w:rPr>
      </w:pPr>
      <w:r>
        <w:rPr>
          <w:rFonts w:hint="eastAsia" w:ascii="仿宋" w:hAnsi="仿宋" w:eastAsia="仿宋"/>
          <w:color w:val="000000"/>
        </w:rPr>
        <w:t>表1：</w:t>
      </w:r>
      <w:r>
        <w:rPr>
          <w:rFonts w:hint="eastAsia" w:ascii="仿宋" w:hAnsi="仿宋" w:eastAsia="仿宋" w:cs="宋体"/>
          <w:kern w:val="0"/>
        </w:rPr>
        <w:t>数控技术应用</w:t>
      </w:r>
      <w:r>
        <w:rPr>
          <w:rFonts w:hint="eastAsia" w:ascii="仿宋" w:hAnsi="仿宋" w:eastAsia="仿宋"/>
          <w:color w:val="000000"/>
        </w:rPr>
        <w:t>专业职业面向分析表</w:t>
      </w:r>
    </w:p>
    <w:tbl>
      <w:tblPr>
        <w:tblStyle w:val="12"/>
        <w:tblW w:w="48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4"/>
        <w:gridCol w:w="1744"/>
        <w:gridCol w:w="1305"/>
        <w:gridCol w:w="1740"/>
        <w:gridCol w:w="103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atLeast"/>
          <w:jc w:val="center"/>
        </w:trPr>
        <w:tc>
          <w:tcPr>
            <w:tcW w:w="892" w:type="pct"/>
            <w:vAlign w:val="center"/>
          </w:tcPr>
          <w:p>
            <w:pPr>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仿宋" w:hAnsi="仿宋" w:eastAsia="仿宋"/>
                <w:b/>
                <w:color w:val="000000"/>
              </w:rPr>
              <w:t>所属专业大类（代码）</w:t>
            </w:r>
          </w:p>
        </w:tc>
        <w:tc>
          <w:tcPr>
            <w:tcW w:w="897" w:type="pct"/>
            <w:vAlign w:val="center"/>
          </w:tcPr>
          <w:p>
            <w:pPr>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仿宋" w:hAnsi="仿宋" w:eastAsia="仿宋"/>
                <w:b/>
                <w:color w:val="000000"/>
              </w:rPr>
              <w:t>所属专业类（代码）</w:t>
            </w:r>
          </w:p>
        </w:tc>
        <w:tc>
          <w:tcPr>
            <w:tcW w:w="671" w:type="pct"/>
            <w:vAlign w:val="center"/>
          </w:tcPr>
          <w:p>
            <w:pPr>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仿宋" w:hAnsi="仿宋" w:eastAsia="仿宋"/>
                <w:b/>
                <w:color w:val="000000"/>
              </w:rPr>
              <w:t>对应行业</w:t>
            </w:r>
          </w:p>
        </w:tc>
        <w:tc>
          <w:tcPr>
            <w:tcW w:w="895" w:type="pct"/>
            <w:vAlign w:val="center"/>
          </w:tcPr>
          <w:p>
            <w:pPr>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仿宋" w:hAnsi="仿宋" w:eastAsia="仿宋"/>
                <w:b/>
                <w:color w:val="000000"/>
              </w:rPr>
              <w:t>主要职业类别（代码）</w:t>
            </w:r>
          </w:p>
        </w:tc>
        <w:tc>
          <w:tcPr>
            <w:tcW w:w="534" w:type="pct"/>
            <w:vAlign w:val="center"/>
          </w:tcPr>
          <w:p>
            <w:pPr>
              <w:adjustRightInd w:val="0"/>
              <w:snapToGrid w:val="0"/>
              <w:spacing w:beforeLines="0" w:after="0" w:afterAutospacing="0" w:line="240" w:lineRule="auto"/>
              <w:ind w:firstLine="0" w:firstLineChars="0"/>
              <w:rPr>
                <w:rFonts w:ascii="仿宋" w:hAnsi="仿宋" w:eastAsia="仿宋"/>
                <w:b/>
                <w:color w:val="000000"/>
              </w:rPr>
            </w:pPr>
            <w:r>
              <w:rPr>
                <w:rFonts w:hint="eastAsia" w:ascii="仿宋" w:hAnsi="仿宋" w:eastAsia="仿宋"/>
                <w:b/>
                <w:color w:val="000000"/>
              </w:rPr>
              <w:t>主要岗位类别</w:t>
            </w:r>
          </w:p>
        </w:tc>
        <w:tc>
          <w:tcPr>
            <w:tcW w:w="1110" w:type="pct"/>
            <w:vAlign w:val="center"/>
          </w:tcPr>
          <w:p>
            <w:pPr>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仿宋" w:hAnsi="仿宋" w:eastAsia="仿宋"/>
                <w:b/>
                <w:color w:val="000000"/>
              </w:rPr>
              <w:t>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892" w:type="pct"/>
            <w:vAlign w:val="center"/>
          </w:tcPr>
          <w:p>
            <w:pPr>
              <w:adjustRightInd w:val="0"/>
              <w:snapToGrid w:val="0"/>
              <w:spacing w:beforeLines="0" w:after="0" w:afterAutospacing="0" w:line="240" w:lineRule="auto"/>
              <w:ind w:firstLine="0" w:firstLineChars="0"/>
              <w:jc w:val="center"/>
              <w:rPr>
                <w:rFonts w:ascii="仿宋" w:hAnsi="仿宋" w:eastAsia="仿宋"/>
              </w:rPr>
            </w:pPr>
            <w:r>
              <w:rPr>
                <w:rFonts w:hint="eastAsia" w:ascii="仿宋" w:hAnsi="仿宋" w:eastAsia="仿宋"/>
              </w:rPr>
              <w:t>装备制造大类（66）</w:t>
            </w:r>
          </w:p>
        </w:tc>
        <w:tc>
          <w:tcPr>
            <w:tcW w:w="897" w:type="pct"/>
            <w:vAlign w:val="center"/>
          </w:tcPr>
          <w:p>
            <w:pPr>
              <w:adjustRightInd w:val="0"/>
              <w:snapToGrid w:val="0"/>
              <w:spacing w:beforeLines="0" w:after="0" w:afterAutospacing="0" w:line="240" w:lineRule="auto"/>
              <w:ind w:firstLine="0" w:firstLineChars="0"/>
              <w:jc w:val="center"/>
              <w:rPr>
                <w:rFonts w:ascii="仿宋" w:hAnsi="仿宋" w:eastAsia="仿宋"/>
              </w:rPr>
            </w:pPr>
            <w:r>
              <w:rPr>
                <w:rFonts w:eastAsia="仿宋_GB2312" w:cs="仿宋_GB2312"/>
                <w:color w:val="000000"/>
                <w:kern w:val="0"/>
                <w:lang w:bidi="ar"/>
              </w:rPr>
              <w:t>660103</w:t>
            </w:r>
          </w:p>
        </w:tc>
        <w:tc>
          <w:tcPr>
            <w:tcW w:w="671" w:type="pct"/>
            <w:vAlign w:val="center"/>
          </w:tcPr>
          <w:p>
            <w:pPr>
              <w:adjustRightInd w:val="0"/>
              <w:snapToGrid w:val="0"/>
              <w:spacing w:beforeLines="0" w:after="0" w:afterAutospacing="0" w:line="240" w:lineRule="auto"/>
              <w:ind w:firstLine="0" w:firstLineChars="0"/>
              <w:jc w:val="center"/>
              <w:rPr>
                <w:rFonts w:ascii="仿宋" w:hAnsi="仿宋" w:eastAsia="仿宋"/>
              </w:rPr>
            </w:pPr>
            <w:r>
              <w:rPr>
                <w:rFonts w:hint="eastAsia" w:ascii="仿宋" w:hAnsi="仿宋" w:eastAsia="仿宋"/>
              </w:rPr>
              <w:t>机械制造</w:t>
            </w:r>
          </w:p>
        </w:tc>
        <w:tc>
          <w:tcPr>
            <w:tcW w:w="895" w:type="pct"/>
            <w:vAlign w:val="center"/>
          </w:tcPr>
          <w:p>
            <w:pPr>
              <w:adjustRightInd w:val="0"/>
              <w:snapToGrid w:val="0"/>
              <w:spacing w:beforeLines="0" w:after="0" w:afterAutospacing="0" w:line="240" w:lineRule="auto"/>
              <w:ind w:firstLine="0" w:firstLineChars="0"/>
              <w:jc w:val="center"/>
              <w:rPr>
                <w:rFonts w:ascii="仿宋" w:hAnsi="仿宋" w:eastAsia="仿宋"/>
              </w:rPr>
            </w:pPr>
            <w:r>
              <w:rPr>
                <w:rFonts w:hint="eastAsia" w:ascii="仿宋" w:hAnsi="仿宋" w:eastAsia="仿宋"/>
              </w:rPr>
              <w:t>6-18-01-01</w:t>
            </w:r>
          </w:p>
          <w:p>
            <w:pPr>
              <w:adjustRightInd w:val="0"/>
              <w:snapToGrid w:val="0"/>
              <w:spacing w:beforeLines="0" w:after="0" w:afterAutospacing="0" w:line="240" w:lineRule="auto"/>
              <w:ind w:firstLine="0" w:firstLineChars="0"/>
              <w:jc w:val="center"/>
              <w:rPr>
                <w:rFonts w:ascii="仿宋" w:hAnsi="仿宋" w:eastAsia="仿宋"/>
              </w:rPr>
            </w:pPr>
            <w:r>
              <w:rPr>
                <w:rFonts w:hint="eastAsia" w:ascii="仿宋" w:hAnsi="仿宋" w:eastAsia="仿宋"/>
              </w:rPr>
              <w:t>6-18-01-02</w:t>
            </w:r>
          </w:p>
        </w:tc>
        <w:tc>
          <w:tcPr>
            <w:tcW w:w="534" w:type="pct"/>
            <w:vAlign w:val="center"/>
          </w:tcPr>
          <w:p>
            <w:pPr>
              <w:adjustRightInd w:val="0"/>
              <w:snapToGrid w:val="0"/>
              <w:spacing w:beforeLines="0" w:after="0" w:afterAutospacing="0" w:line="240" w:lineRule="auto"/>
              <w:ind w:firstLine="0" w:firstLineChars="0"/>
              <w:jc w:val="center"/>
              <w:rPr>
                <w:rFonts w:ascii="仿宋" w:hAnsi="仿宋" w:eastAsia="仿宋"/>
              </w:rPr>
            </w:pPr>
            <w:r>
              <w:rPr>
                <w:rFonts w:hint="eastAsia" w:ascii="仿宋" w:hAnsi="仿宋" w:eastAsia="仿宋"/>
              </w:rPr>
              <w:t>车工</w:t>
            </w:r>
          </w:p>
          <w:p>
            <w:pPr>
              <w:adjustRightInd w:val="0"/>
              <w:snapToGrid w:val="0"/>
              <w:spacing w:beforeLines="0" w:after="0" w:afterAutospacing="0" w:line="240" w:lineRule="auto"/>
              <w:ind w:firstLine="0" w:firstLineChars="0"/>
              <w:jc w:val="center"/>
              <w:rPr>
                <w:rFonts w:ascii="仿宋" w:hAnsi="仿宋" w:eastAsia="仿宋"/>
              </w:rPr>
            </w:pPr>
            <w:r>
              <w:rPr>
                <w:rFonts w:hint="eastAsia" w:ascii="仿宋" w:hAnsi="仿宋" w:eastAsia="仿宋"/>
              </w:rPr>
              <w:t>铣工</w:t>
            </w:r>
          </w:p>
        </w:tc>
        <w:tc>
          <w:tcPr>
            <w:tcW w:w="1110" w:type="pct"/>
            <w:vAlign w:val="center"/>
          </w:tcPr>
          <w:p>
            <w:pPr>
              <w:adjustRightInd w:val="0"/>
              <w:snapToGrid w:val="0"/>
              <w:spacing w:beforeLines="0" w:after="0" w:afterAutospacing="0" w:line="240" w:lineRule="auto"/>
              <w:ind w:firstLine="0" w:firstLineChars="0"/>
              <w:jc w:val="center"/>
              <w:rPr>
                <w:rFonts w:ascii="仿宋" w:hAnsi="仿宋" w:eastAsia="仿宋"/>
              </w:rPr>
            </w:pPr>
            <w:r>
              <w:rPr>
                <w:rFonts w:hint="eastAsia" w:ascii="仿宋" w:hAnsi="仿宋" w:eastAsia="仿宋"/>
              </w:rPr>
              <w:t>车工职业资格证</w:t>
            </w:r>
          </w:p>
          <w:p>
            <w:pPr>
              <w:adjustRightInd w:val="0"/>
              <w:snapToGrid w:val="0"/>
              <w:spacing w:beforeLines="0" w:after="0" w:afterAutospacing="0" w:line="240" w:lineRule="auto"/>
              <w:ind w:firstLine="0" w:firstLineChars="0"/>
              <w:jc w:val="center"/>
              <w:rPr>
                <w:rFonts w:ascii="仿宋" w:hAnsi="仿宋" w:eastAsia="仿宋"/>
              </w:rPr>
            </w:pPr>
            <w:r>
              <w:rPr>
                <w:rFonts w:hint="eastAsia" w:ascii="仿宋" w:hAnsi="仿宋" w:eastAsia="仿宋"/>
              </w:rPr>
              <w:t>铣工职业资格证</w:t>
            </w:r>
          </w:p>
        </w:tc>
      </w:tr>
      <w:bookmarkEnd w:id="15"/>
    </w:tbl>
    <w:p>
      <w:pPr>
        <w:spacing w:beforeLines="0" w:after="0" w:afterAutospacing="0" w:line="240" w:lineRule="auto"/>
        <w:ind w:firstLine="480"/>
        <w:rPr>
          <w:rFonts w:ascii="仿宋" w:hAnsi="仿宋" w:eastAsia="仿宋"/>
        </w:rPr>
      </w:pPr>
      <w:r>
        <w:rPr>
          <w:rFonts w:hint="eastAsia" w:ascii="仿宋" w:hAnsi="仿宋" w:eastAsia="仿宋"/>
        </w:rPr>
        <w:t>连续专业：</w:t>
      </w:r>
    </w:p>
    <w:p>
      <w:pPr>
        <w:spacing w:beforeLines="0" w:after="0" w:afterAutospacing="0" w:line="240" w:lineRule="auto"/>
        <w:ind w:firstLine="480"/>
        <w:rPr>
          <w:rFonts w:ascii="仿宋" w:hAnsi="仿宋" w:eastAsia="仿宋"/>
        </w:rPr>
      </w:pPr>
      <w:r>
        <w:rPr>
          <w:rFonts w:hint="eastAsia" w:ascii="仿宋" w:hAnsi="仿宋" w:eastAsia="仿宋"/>
        </w:rPr>
        <w:t>高职：数控技术</w:t>
      </w:r>
    </w:p>
    <w:p>
      <w:pPr>
        <w:spacing w:beforeLines="0" w:after="0" w:afterAutospacing="0" w:line="240" w:lineRule="auto"/>
        <w:ind w:firstLine="480"/>
        <w:rPr>
          <w:rFonts w:ascii="仿宋" w:hAnsi="仿宋" w:eastAsia="仿宋"/>
        </w:rPr>
      </w:pPr>
      <w:r>
        <w:rPr>
          <w:rFonts w:hint="eastAsia" w:ascii="仿宋" w:hAnsi="仿宋" w:eastAsia="仿宋"/>
        </w:rPr>
        <w:t>本科：机械设计制造及其自动化</w:t>
      </w:r>
    </w:p>
    <w:p>
      <w:pPr>
        <w:pStyle w:val="33"/>
      </w:pPr>
      <w:bookmarkStart w:id="16" w:name="_Toc135351538"/>
      <w:r>
        <w:rPr>
          <w:rFonts w:hint="eastAsia"/>
        </w:rPr>
        <w:t>五、培养目标与培养规格</w:t>
      </w:r>
      <w:bookmarkEnd w:id="16"/>
    </w:p>
    <w:p>
      <w:pPr>
        <w:pStyle w:val="3"/>
        <w:spacing w:before="326" w:after="163" w:line="240" w:lineRule="auto"/>
        <w:ind w:firstLine="482"/>
      </w:pPr>
      <w:bookmarkStart w:id="17" w:name="_Toc135351539"/>
      <w:bookmarkStart w:id="18" w:name="_Toc17216694"/>
      <w:bookmarkStart w:id="19" w:name="_Toc16356567"/>
      <w:r>
        <w:rPr>
          <w:rFonts w:hint="eastAsia"/>
        </w:rPr>
        <w:t>（一）培养目标</w:t>
      </w:r>
      <w:bookmarkEnd w:id="17"/>
      <w:bookmarkEnd w:id="18"/>
      <w:bookmarkEnd w:id="19"/>
    </w:p>
    <w:p>
      <w:pPr>
        <w:pStyle w:val="19"/>
        <w:spacing w:before="0" w:beforeLines="0" w:line="240" w:lineRule="auto"/>
        <w:ind w:firstLine="480"/>
        <w:rPr>
          <w:rFonts w:ascii="仿宋" w:hAnsi="仿宋" w:eastAsia="仿宋"/>
          <w:szCs w:val="24"/>
        </w:rPr>
      </w:pPr>
      <w:r>
        <w:rPr>
          <w:rFonts w:hint="eastAsia" w:ascii="仿宋" w:hAnsi="仿宋" w:eastAsia="仿宋"/>
          <w:szCs w:val="24"/>
        </w:rPr>
        <w:t>数控技术应用专业主要面向国内的加工制造业、装备制造等行业企业，培养热爱祖国，拥护党的基本路线，具有与本专业相适应的文化水平、良好职业道德与和创新精神，德、智、体、美全面发展的中等专业人才。并具备数控车加工技术、数控铣加工技术、数控机床维护保养、车加工技术、钳工技术、零件加工工艺编制等能力，并能熟练掌握常用零件的加工、机床调试，并适应行业企业生产、服务第一线需要的高素质劳动者和技能型人才。</w:t>
      </w:r>
    </w:p>
    <w:p>
      <w:pPr>
        <w:pStyle w:val="3"/>
        <w:spacing w:before="326" w:after="163" w:line="240" w:lineRule="auto"/>
        <w:ind w:firstLine="482"/>
      </w:pPr>
      <w:bookmarkStart w:id="20" w:name="_Toc16356568"/>
      <w:bookmarkStart w:id="21" w:name="_Toc17216695"/>
      <w:bookmarkStart w:id="22" w:name="_Toc135351540"/>
      <w:r>
        <w:rPr>
          <w:rFonts w:hint="eastAsia"/>
        </w:rPr>
        <w:t>（二）培养规格</w:t>
      </w:r>
      <w:bookmarkEnd w:id="20"/>
      <w:bookmarkEnd w:id="21"/>
      <w:bookmarkEnd w:id="22"/>
    </w:p>
    <w:p>
      <w:pPr>
        <w:pStyle w:val="19"/>
        <w:spacing w:before="0" w:beforeLines="0" w:line="240" w:lineRule="auto"/>
        <w:ind w:firstLine="480"/>
        <w:rPr>
          <w:rFonts w:ascii="仿宋" w:hAnsi="仿宋" w:eastAsia="仿宋"/>
          <w:szCs w:val="24"/>
        </w:rPr>
      </w:pPr>
      <w:r>
        <w:rPr>
          <w:rFonts w:hint="eastAsia" w:ascii="仿宋" w:hAnsi="仿宋" w:eastAsia="仿宋"/>
          <w:szCs w:val="24"/>
        </w:rPr>
        <w:t>本专业培养的人才应热爱祖国，热爱人民，拥护党的方针政策，遵守国家法律法规，具有高级中学基本的文化知识，拥有健全的体魄，并具有以下职业素养、专业知识和技能：</w:t>
      </w:r>
    </w:p>
    <w:p>
      <w:pPr>
        <w:pStyle w:val="19"/>
        <w:numPr>
          <w:ilvl w:val="0"/>
          <w:numId w:val="1"/>
        </w:numPr>
        <w:spacing w:before="163" w:line="240" w:lineRule="auto"/>
        <w:ind w:firstLineChars="0"/>
        <w:rPr>
          <w:rFonts w:ascii="仿宋" w:hAnsi="仿宋" w:eastAsia="仿宋"/>
          <w:b/>
          <w:bCs/>
          <w:szCs w:val="24"/>
        </w:rPr>
      </w:pPr>
      <w:r>
        <w:rPr>
          <w:rFonts w:hint="eastAsia" w:ascii="仿宋" w:hAnsi="仿宋" w:eastAsia="仿宋"/>
          <w:b/>
          <w:bCs/>
          <w:szCs w:val="24"/>
        </w:rPr>
        <w:t>德育与通识教育要求</w:t>
      </w:r>
    </w:p>
    <w:p>
      <w:pPr>
        <w:pStyle w:val="19"/>
        <w:numPr>
          <w:ilvl w:val="0"/>
          <w:numId w:val="2"/>
        </w:numPr>
        <w:spacing w:before="0" w:beforeLines="0" w:line="240" w:lineRule="auto"/>
        <w:ind w:firstLineChars="0"/>
        <w:rPr>
          <w:rFonts w:ascii="仿宋" w:hAnsi="仿宋" w:eastAsia="仿宋"/>
          <w:szCs w:val="24"/>
        </w:rPr>
      </w:pPr>
      <w:r>
        <w:rPr>
          <w:rFonts w:hint="eastAsia" w:ascii="仿宋" w:hAnsi="仿宋" w:eastAsia="仿宋"/>
          <w:szCs w:val="24"/>
        </w:rPr>
        <w:t>基本素质</w:t>
      </w:r>
    </w:p>
    <w:p>
      <w:pPr>
        <w:pStyle w:val="19"/>
        <w:spacing w:before="0" w:beforeLines="0" w:line="240" w:lineRule="auto"/>
        <w:ind w:firstLine="480"/>
        <w:rPr>
          <w:rFonts w:ascii="仿宋" w:hAnsi="仿宋" w:eastAsia="仿宋"/>
          <w:szCs w:val="24"/>
        </w:rPr>
      </w:pPr>
      <w:r>
        <w:rPr>
          <w:rFonts w:hint="eastAsia" w:ascii="仿宋" w:hAnsi="仿宋" w:eastAsia="仿宋"/>
          <w:szCs w:val="24"/>
        </w:rPr>
        <w:t>思想政治素质：有正确的政治方向，有坚定的政治信念，遵守国家法律和校规校纪，爱护环境，讲究卫生，文明礼貌；为人正直，诚实守信。</w:t>
      </w:r>
    </w:p>
    <w:p>
      <w:pPr>
        <w:pStyle w:val="19"/>
        <w:spacing w:before="0" w:beforeLines="0" w:line="240" w:lineRule="auto"/>
        <w:ind w:firstLine="480"/>
        <w:rPr>
          <w:rFonts w:ascii="仿宋" w:hAnsi="仿宋" w:eastAsia="仿宋"/>
          <w:szCs w:val="24"/>
        </w:rPr>
      </w:pPr>
      <w:r>
        <w:rPr>
          <w:rFonts w:hint="eastAsia" w:ascii="仿宋" w:hAnsi="仿宋" w:eastAsia="仿宋"/>
          <w:szCs w:val="24"/>
        </w:rPr>
        <w:t>科学文化素质：有科学的认知理念与认知方法和实事求是、勇于实践的工作作风；自强、自立、自爱；有正确的审美观；爱好广泛，情趣高雅，有较高的文化素养。</w:t>
      </w:r>
    </w:p>
    <w:p>
      <w:pPr>
        <w:pStyle w:val="19"/>
        <w:numPr>
          <w:ilvl w:val="0"/>
          <w:numId w:val="2"/>
        </w:numPr>
        <w:spacing w:before="0" w:beforeLines="0" w:line="240" w:lineRule="auto"/>
        <w:ind w:firstLineChars="0"/>
        <w:rPr>
          <w:rFonts w:ascii="仿宋" w:hAnsi="仿宋" w:eastAsia="仿宋"/>
          <w:szCs w:val="24"/>
        </w:rPr>
      </w:pPr>
      <w:r>
        <w:rPr>
          <w:rFonts w:hint="eastAsia" w:ascii="仿宋" w:hAnsi="仿宋" w:eastAsia="仿宋"/>
          <w:szCs w:val="24"/>
        </w:rPr>
        <w:t>身体心理素质</w:t>
      </w:r>
    </w:p>
    <w:p>
      <w:pPr>
        <w:pStyle w:val="19"/>
        <w:spacing w:before="0" w:beforeLines="0" w:line="240" w:lineRule="auto"/>
        <w:ind w:firstLine="480"/>
        <w:rPr>
          <w:rFonts w:ascii="仿宋" w:hAnsi="仿宋" w:eastAsia="仿宋"/>
          <w:szCs w:val="24"/>
        </w:rPr>
      </w:pPr>
      <w:r>
        <w:rPr>
          <w:rFonts w:hint="eastAsia" w:ascii="仿宋" w:hAnsi="仿宋" w:eastAsia="仿宋"/>
          <w:szCs w:val="24"/>
        </w:rPr>
        <w:t>能积极参加体育锻炼和学校组织的各种文化体育活动，达到中等职业学校学生体质健康合格标准。能正确地看待现实，主动适应现实环境，有切合实际的生活目标和个人发展目标；有正常的人际关系和团队精神。</w:t>
      </w:r>
    </w:p>
    <w:p>
      <w:pPr>
        <w:pStyle w:val="19"/>
        <w:numPr>
          <w:ilvl w:val="0"/>
          <w:numId w:val="2"/>
        </w:numPr>
        <w:spacing w:before="0" w:beforeLines="0" w:line="240" w:lineRule="auto"/>
        <w:ind w:firstLineChars="0"/>
        <w:rPr>
          <w:rFonts w:ascii="仿宋" w:hAnsi="仿宋" w:eastAsia="仿宋"/>
          <w:szCs w:val="24"/>
        </w:rPr>
      </w:pPr>
      <w:r>
        <w:rPr>
          <w:rFonts w:hint="eastAsia" w:ascii="仿宋" w:hAnsi="仿宋" w:eastAsia="仿宋"/>
          <w:szCs w:val="24"/>
        </w:rPr>
        <w:t>职业素质</w:t>
      </w:r>
    </w:p>
    <w:p>
      <w:pPr>
        <w:pStyle w:val="19"/>
        <w:spacing w:before="0" w:beforeLines="0" w:line="240" w:lineRule="auto"/>
        <w:ind w:firstLine="480"/>
        <w:rPr>
          <w:rFonts w:ascii="仿宋" w:hAnsi="仿宋" w:eastAsia="仿宋"/>
          <w:szCs w:val="24"/>
        </w:rPr>
      </w:pPr>
      <w:r>
        <w:rPr>
          <w:rFonts w:hint="eastAsia" w:ascii="仿宋" w:hAnsi="仿宋" w:eastAsia="仿宋"/>
          <w:szCs w:val="24"/>
        </w:rPr>
        <w:t>具有从事数控类专业工作所必需的专业知识和能力；具有创新精神、自觉学习的态度和立业创业的意识；有较强的事业心、责任感和团队合作精神，具有良好的人际沟通能力和协调能力，能正确处理好与工作单位、同事的关系；初步形成适应社会主义市场经济需要的就业观、创业观和人生观。</w:t>
      </w:r>
    </w:p>
    <w:p>
      <w:pPr>
        <w:pStyle w:val="19"/>
        <w:numPr>
          <w:ilvl w:val="0"/>
          <w:numId w:val="1"/>
        </w:numPr>
        <w:spacing w:before="163" w:line="240" w:lineRule="auto"/>
        <w:ind w:firstLineChars="0"/>
        <w:rPr>
          <w:rFonts w:ascii="仿宋" w:hAnsi="仿宋" w:eastAsia="仿宋"/>
          <w:b/>
          <w:bCs/>
          <w:szCs w:val="24"/>
        </w:rPr>
      </w:pPr>
      <w:r>
        <w:rPr>
          <w:rFonts w:hint="eastAsia" w:ascii="仿宋" w:hAnsi="仿宋" w:eastAsia="仿宋"/>
          <w:b/>
          <w:bCs/>
          <w:szCs w:val="24"/>
        </w:rPr>
        <w:t>职业能力培养目标</w:t>
      </w:r>
    </w:p>
    <w:p>
      <w:pPr>
        <w:pStyle w:val="23"/>
        <w:numPr>
          <w:ilvl w:val="0"/>
          <w:numId w:val="3"/>
        </w:numPr>
        <w:spacing w:beforeLines="0" w:line="240" w:lineRule="auto"/>
        <w:ind w:firstLineChars="0"/>
        <w:rPr>
          <w:rFonts w:ascii="仿宋" w:hAnsi="仿宋" w:eastAsia="仿宋"/>
          <w:bCs/>
          <w:sz w:val="24"/>
          <w:szCs w:val="24"/>
        </w:rPr>
      </w:pPr>
      <w:r>
        <w:rPr>
          <w:rFonts w:hint="eastAsia" w:ascii="仿宋" w:hAnsi="仿宋" w:eastAsia="仿宋"/>
          <w:bCs/>
          <w:sz w:val="24"/>
          <w:szCs w:val="24"/>
        </w:rPr>
        <w:t>知识要求</w:t>
      </w:r>
    </w:p>
    <w:p>
      <w:pPr>
        <w:pStyle w:val="19"/>
        <w:numPr>
          <w:ilvl w:val="0"/>
          <w:numId w:val="4"/>
        </w:numPr>
        <w:spacing w:before="0" w:beforeLines="0" w:line="240" w:lineRule="auto"/>
        <w:ind w:firstLineChars="0"/>
        <w:rPr>
          <w:rFonts w:ascii="仿宋" w:hAnsi="仿宋" w:eastAsia="仿宋"/>
          <w:bCs/>
          <w:szCs w:val="24"/>
        </w:rPr>
      </w:pPr>
      <w:r>
        <w:rPr>
          <w:rFonts w:hint="eastAsia" w:ascii="仿宋" w:hAnsi="仿宋" w:eastAsia="仿宋"/>
          <w:bCs/>
          <w:szCs w:val="24"/>
        </w:rPr>
        <w:t>能具备机械图、零件图的读图与识图能力。</w:t>
      </w:r>
    </w:p>
    <w:p>
      <w:pPr>
        <w:pStyle w:val="19"/>
        <w:numPr>
          <w:ilvl w:val="0"/>
          <w:numId w:val="4"/>
        </w:numPr>
        <w:spacing w:before="0" w:beforeLines="0" w:line="240" w:lineRule="auto"/>
        <w:ind w:firstLineChars="0"/>
        <w:rPr>
          <w:rFonts w:ascii="仿宋" w:hAnsi="仿宋" w:eastAsia="仿宋"/>
          <w:bCs/>
          <w:szCs w:val="24"/>
        </w:rPr>
      </w:pPr>
      <w:r>
        <w:rPr>
          <w:rFonts w:hint="eastAsia" w:ascii="仿宋" w:hAnsi="仿宋" w:eastAsia="仿宋"/>
          <w:bCs/>
          <w:szCs w:val="24"/>
        </w:rPr>
        <w:t>能具备机械加工、金属切削加工基本知识。</w:t>
      </w:r>
    </w:p>
    <w:p>
      <w:pPr>
        <w:pStyle w:val="19"/>
        <w:numPr>
          <w:ilvl w:val="0"/>
          <w:numId w:val="4"/>
        </w:numPr>
        <w:spacing w:before="0" w:beforeLines="0" w:line="240" w:lineRule="auto"/>
        <w:ind w:firstLineChars="0"/>
        <w:rPr>
          <w:rFonts w:ascii="仿宋" w:hAnsi="仿宋" w:eastAsia="仿宋"/>
          <w:bCs/>
          <w:szCs w:val="24"/>
        </w:rPr>
      </w:pPr>
      <w:r>
        <w:rPr>
          <w:rFonts w:hint="eastAsia" w:ascii="仿宋" w:hAnsi="仿宋" w:eastAsia="仿宋"/>
          <w:bCs/>
          <w:szCs w:val="24"/>
        </w:rPr>
        <w:t>能够较熟练使用计算机辅助设计、计算机辅助制造软件。</w:t>
      </w:r>
    </w:p>
    <w:p>
      <w:pPr>
        <w:pStyle w:val="19"/>
        <w:numPr>
          <w:ilvl w:val="0"/>
          <w:numId w:val="4"/>
        </w:numPr>
        <w:spacing w:before="0" w:beforeLines="0" w:line="240" w:lineRule="auto"/>
        <w:ind w:firstLineChars="0"/>
        <w:rPr>
          <w:rFonts w:ascii="仿宋" w:hAnsi="仿宋" w:eastAsia="仿宋"/>
          <w:bCs/>
          <w:szCs w:val="24"/>
        </w:rPr>
      </w:pPr>
      <w:r>
        <w:rPr>
          <w:rFonts w:hint="eastAsia" w:ascii="仿宋" w:hAnsi="仿宋" w:eastAsia="仿宋"/>
          <w:bCs/>
          <w:szCs w:val="24"/>
        </w:rPr>
        <w:t>具有制定一般零件加工工艺基本知识。</w:t>
      </w:r>
    </w:p>
    <w:p>
      <w:pPr>
        <w:pStyle w:val="19"/>
        <w:numPr>
          <w:ilvl w:val="0"/>
          <w:numId w:val="4"/>
        </w:numPr>
        <w:spacing w:before="0" w:beforeLines="0" w:line="240" w:lineRule="auto"/>
        <w:ind w:firstLineChars="0"/>
        <w:rPr>
          <w:rFonts w:ascii="仿宋" w:hAnsi="仿宋" w:eastAsia="仿宋"/>
          <w:bCs/>
          <w:szCs w:val="24"/>
        </w:rPr>
      </w:pPr>
      <w:r>
        <w:rPr>
          <w:rFonts w:hint="eastAsia" w:ascii="仿宋" w:hAnsi="仿宋" w:eastAsia="仿宋"/>
          <w:bCs/>
          <w:szCs w:val="24"/>
        </w:rPr>
        <w:t>具备数空机床调试、保养的能力。</w:t>
      </w:r>
    </w:p>
    <w:p>
      <w:pPr>
        <w:pStyle w:val="19"/>
        <w:numPr>
          <w:ilvl w:val="0"/>
          <w:numId w:val="4"/>
        </w:numPr>
        <w:spacing w:before="0" w:beforeLines="0" w:line="240" w:lineRule="auto"/>
        <w:ind w:firstLineChars="0"/>
        <w:rPr>
          <w:rFonts w:ascii="仿宋" w:hAnsi="仿宋" w:eastAsia="仿宋"/>
          <w:bCs/>
          <w:szCs w:val="24"/>
        </w:rPr>
      </w:pPr>
      <w:r>
        <w:rPr>
          <w:rFonts w:hint="eastAsia" w:ascii="仿宋" w:hAnsi="仿宋" w:eastAsia="仿宋"/>
          <w:bCs/>
          <w:szCs w:val="24"/>
        </w:rPr>
        <w:t>具有数控车加工、数控铣加工等基本操作能力。</w:t>
      </w:r>
    </w:p>
    <w:p>
      <w:pPr>
        <w:pStyle w:val="23"/>
        <w:numPr>
          <w:ilvl w:val="0"/>
          <w:numId w:val="3"/>
        </w:numPr>
        <w:spacing w:beforeLines="0" w:line="240" w:lineRule="auto"/>
        <w:ind w:firstLineChars="0"/>
        <w:rPr>
          <w:rFonts w:ascii="仿宋" w:hAnsi="仿宋" w:eastAsia="仿宋"/>
          <w:bCs/>
          <w:sz w:val="24"/>
          <w:szCs w:val="24"/>
        </w:rPr>
      </w:pPr>
      <w:bookmarkStart w:id="23" w:name="_Toc433961909"/>
      <w:r>
        <w:rPr>
          <w:rFonts w:hint="eastAsia" w:ascii="仿宋" w:hAnsi="仿宋" w:eastAsia="仿宋"/>
          <w:bCs/>
          <w:sz w:val="24"/>
          <w:szCs w:val="24"/>
        </w:rPr>
        <w:t>能力要求</w:t>
      </w:r>
      <w:bookmarkEnd w:id="23"/>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具备车削典型零件、加工工艺分析能力、编程能力。</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具备车刀、及常用刀具刃磨的能力。</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能够合理选择车削用量及调试数控车床的能力。</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具备正确使用数控车床附件的能力。</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具备数控车床一般维护、安全、文明生产等相关知识。</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具备数控铣削典型零件</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具备数控铣削加工工艺分析能力</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具备数控铣削编程能力。</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具备常用铣削刀具刃磨的能力。</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能够合理选择铣削用量及调试数控铣床的能力。</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具备正确使用数控铣床附件的能力。</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能熟练使用计算机辅助设计、计算机辅助制造软件的能力。</w:t>
      </w:r>
    </w:p>
    <w:p>
      <w:pPr>
        <w:pStyle w:val="19"/>
        <w:numPr>
          <w:ilvl w:val="1"/>
          <w:numId w:val="5"/>
        </w:numPr>
        <w:spacing w:before="0" w:beforeLines="0" w:line="240" w:lineRule="auto"/>
        <w:ind w:firstLineChars="0"/>
        <w:rPr>
          <w:rFonts w:ascii="仿宋" w:hAnsi="仿宋" w:eastAsia="仿宋"/>
          <w:szCs w:val="24"/>
        </w:rPr>
      </w:pPr>
      <w:r>
        <w:rPr>
          <w:rFonts w:hint="eastAsia" w:ascii="仿宋" w:hAnsi="仿宋" w:eastAsia="仿宋"/>
          <w:bCs/>
          <w:szCs w:val="24"/>
        </w:rPr>
        <w:t>具备数控铣床一般维护、安全、文明生产等相关知识。</w:t>
      </w:r>
    </w:p>
    <w:p>
      <w:pPr>
        <w:adjustRightInd w:val="0"/>
        <w:snapToGrid w:val="0"/>
        <w:spacing w:beforeLines="0" w:after="0" w:afterAutospacing="0" w:line="240" w:lineRule="auto"/>
        <w:ind w:firstLine="480"/>
        <w:rPr>
          <w:rFonts w:ascii="仿宋" w:hAnsi="仿宋" w:eastAsia="仿宋" w:cs="宋体"/>
          <w:kern w:val="0"/>
        </w:rPr>
      </w:pPr>
    </w:p>
    <w:p>
      <w:pPr>
        <w:pStyle w:val="33"/>
      </w:pPr>
      <w:bookmarkStart w:id="24" w:name="_Toc433961911"/>
      <w:bookmarkStart w:id="25" w:name="_Toc17216696"/>
      <w:bookmarkStart w:id="26" w:name="_Toc135351541"/>
      <w:bookmarkStart w:id="27" w:name="_Toc16356569"/>
      <w:r>
        <w:rPr>
          <w:rFonts w:hint="eastAsia"/>
        </w:rPr>
        <w:t>六、课程</w:t>
      </w:r>
      <w:bookmarkEnd w:id="24"/>
      <w:r>
        <w:rPr>
          <w:rFonts w:hint="eastAsia"/>
        </w:rPr>
        <w:t>设置及要求</w:t>
      </w:r>
      <w:bookmarkEnd w:id="25"/>
      <w:bookmarkEnd w:id="26"/>
      <w:bookmarkEnd w:id="27"/>
    </w:p>
    <w:p>
      <w:pPr>
        <w:pStyle w:val="19"/>
        <w:spacing w:before="0" w:beforeLines="0" w:line="240" w:lineRule="auto"/>
        <w:ind w:firstLine="480"/>
      </w:pPr>
      <w:r>
        <w:rPr>
          <w:rFonts w:hint="eastAsia" w:ascii="仿宋" w:hAnsi="仿宋" w:eastAsia="仿宋"/>
          <w:szCs w:val="24"/>
        </w:rPr>
        <w:t>本专业课程设置分为公共基础课程和专业（技能）课程。</w:t>
      </w:r>
      <w:bookmarkStart w:id="28" w:name="_Toc16356570"/>
      <w:bookmarkStart w:id="29" w:name="_Toc5900318"/>
      <w:bookmarkStart w:id="30" w:name="_Toc5899791"/>
      <w:bookmarkStart w:id="31" w:name="_Toc17216697"/>
      <w:bookmarkStart w:id="32" w:name="_Toc10556147"/>
    </w:p>
    <w:p>
      <w:pPr>
        <w:pStyle w:val="3"/>
        <w:spacing w:before="326" w:after="163" w:line="240" w:lineRule="auto"/>
        <w:ind w:firstLine="482"/>
      </w:pPr>
      <w:bookmarkStart w:id="33" w:name="_Toc135351542"/>
      <w:r>
        <w:rPr>
          <w:rFonts w:hint="eastAsia"/>
        </w:rPr>
        <w:t>（一）公共基础课程</w:t>
      </w:r>
      <w:bookmarkEnd w:id="28"/>
      <w:bookmarkEnd w:id="29"/>
      <w:bookmarkEnd w:id="30"/>
      <w:bookmarkEnd w:id="31"/>
      <w:bookmarkEnd w:id="32"/>
      <w:bookmarkEnd w:id="33"/>
    </w:p>
    <w:p>
      <w:pPr>
        <w:spacing w:beforeLines="0" w:after="0" w:afterAutospacing="0" w:line="240" w:lineRule="auto"/>
        <w:ind w:firstLine="480"/>
        <w:rPr>
          <w:rFonts w:ascii="仿宋_GB2312" w:eastAsia="仿宋_GB2312"/>
        </w:rPr>
      </w:pPr>
      <w:r>
        <w:rPr>
          <w:rFonts w:hint="eastAsia" w:ascii="仿宋_GB2312" w:hAnsi="宋体" w:eastAsia="仿宋_GB2312"/>
        </w:rPr>
        <w:t>公共基础课包括思想政治、语文、数学、英语、物理、化学、历史、信息技术、体育与健康和艺术等课程。</w:t>
      </w:r>
    </w:p>
    <w:p>
      <w:pPr>
        <w:spacing w:beforeLines="0" w:after="0" w:afterAutospacing="0" w:line="240" w:lineRule="auto"/>
        <w:ind w:firstLine="0" w:firstLineChars="0"/>
        <w:jc w:val="center"/>
        <w:rPr>
          <w:rStyle w:val="16"/>
          <w:rFonts w:ascii="仿宋" w:hAnsi="仿宋" w:eastAsia="仿宋"/>
          <w:b w:val="0"/>
        </w:rPr>
      </w:pPr>
      <w:r>
        <w:rPr>
          <w:rStyle w:val="16"/>
          <w:rFonts w:hint="eastAsia" w:ascii="仿宋" w:hAnsi="仿宋" w:eastAsia="仿宋"/>
          <w:b w:val="0"/>
        </w:rPr>
        <w:t>表2：公共基础课开设情况一览表</w:t>
      </w:r>
    </w:p>
    <w:tbl>
      <w:tblPr>
        <w:tblStyle w:val="3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1250"/>
        <w:gridCol w:w="1185"/>
        <w:gridCol w:w="482"/>
        <w:gridCol w:w="2632"/>
        <w:gridCol w:w="791"/>
        <w:gridCol w:w="308"/>
        <w:gridCol w:w="465"/>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2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b/>
                <w:kern w:val="0"/>
              </w:rPr>
              <w:t>课程名称</w:t>
            </w:r>
          </w:p>
        </w:tc>
        <w:tc>
          <w:tcPr>
            <w:tcW w:w="8384" w:type="dxa"/>
            <w:gridSpan w:val="8"/>
            <w:vAlign w:val="center"/>
          </w:tcPr>
          <w:p>
            <w:pPr>
              <w:adjustRightInd w:val="0"/>
              <w:snapToGrid w:val="0"/>
              <w:spacing w:beforeLines="0" w:after="0" w:afterAutospacing="0" w:line="240" w:lineRule="auto"/>
              <w:ind w:firstLine="0" w:firstLineChars="0"/>
              <w:jc w:val="center"/>
              <w:rPr>
                <w:rFonts w:ascii="仿宋_GB2312" w:hAnsi="宋体" w:eastAsia="仿宋_GB2312"/>
                <w:b/>
                <w:kern w:val="0"/>
              </w:rPr>
            </w:pPr>
            <w:r>
              <w:rPr>
                <w:rFonts w:hint="eastAsia" w:ascii="仿宋_GB2312" w:hAnsi="宋体" w:eastAsia="仿宋_GB2312"/>
                <w:b/>
                <w:kern w:val="0"/>
              </w:rPr>
              <w:t>课程概况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2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思想政治</w:t>
            </w: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学科核心</w:t>
            </w:r>
          </w:p>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素养</w:t>
            </w:r>
          </w:p>
        </w:tc>
        <w:tc>
          <w:tcPr>
            <w:tcW w:w="7134" w:type="dxa"/>
            <w:gridSpan w:val="7"/>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政治认同、职业精神、法治意识、健全人格、公共参与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8384" w:type="dxa"/>
            <w:gridSpan w:val="8"/>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中国特色社会主义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1.正确认识我国发展新的历史方位和社会主要矛盾的变化，理解习近平新时代中国特色社会主义思想是党和国家必须长期坚持的指导思想；</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2.拥护党的领导，领会中国共产党领导是中国特色社会主义最本质的特征和中国特色社会主义制度的最大优势，理解新时代中国共产党的历史使命；</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3.坚信坚持和发展中国特色社会主义是当代中国发展进步的根本方向，认同和拥护中国特色社会主义制度，坚定中国特色社会主义道路自信、理论自信、制度自信、文化自信；</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4.坚持社会主义核心价值体系，自觉培育和践行社会主义核心价值观；</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5.热爱伟大祖国，自觉弘扬和实践爱国主义精神，树立远大志向，在实现中国梦的伟大实践中创造自己精彩人生。</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6.具有人民当家作主的主人翁意识，积极参与民主选举、民主管理、民主决策、民主监督的实践，提高对话协商、沟通合作、表达诉求和解决问题的能力；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中国特色社会主义的创立、发展和完善</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6</w:t>
            </w:r>
          </w:p>
        </w:tc>
        <w:tc>
          <w:tcPr>
            <w:tcW w:w="1271"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中国特色社会主义经济</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8</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中国特色社会主义政治</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8</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中国特色社会主义文化</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6</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中国特色社会主义社会建设与生态文明建设</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6</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踏上新征程共圆中国梦</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1.学生能够正确认识中华民族近代以来从站起来到富起来再到强起来的发展进程；</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2.明确中国特色社会主义制度的显著优势，坚决拥护中国共产党的领导，坚定中国特色社会主义道路自信、理论自信、制度自信、文化自信；</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3.认清自己在实现中国特色社会主义新时代发展目标中的历史机遇与使命担当，以热爱祖国为立身之本、成才之基，在新时代新征程中健康成长、成才报国。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8384" w:type="dxa"/>
            <w:gridSpan w:val="8"/>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心理健康与职业生涯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1.具有自立自强、敬业乐群的心理品质和自尊自信、理性平和、积极向上的良好心态；</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2.能够正确认识自我，正确处理个人与他人、个人与社会的关系，确立符合社会需要和自身实际的积极生活目标，选择正确的人生发展道路；</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3.能够适应环境、应对挫折、把握机遇、勇于创新，正确处理在生活、成长、学习和求职就业过程中出现的心理和行为问题，增强调控情绪、自主自助和积极适应社会发展变化的能力。</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4.学会根据社会发展需要和自身特点进行职业生涯规划，正确处理人生发展过程中遇到的问题，养成良好职业道德行为习惯，自觉践行劳动精神、劳模精神和工匠精神，不断提升职业道德境界。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时代导航 生涯筑梦</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1271"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认识自我 健康成长</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8</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立足专业 谋划发展</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和谐交往 快乐生活</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8</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学会学习 终生受益</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6</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规划生涯 放飞理想</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6</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 xml:space="preserve">  学生应能结合活动体验和社会实践，了解心理健康、职业生涯的基本知识，树立心理健康意识，掌握心理调适方法，形成适应时代发展的职业理想和职业发展观，探寻符合自身实际和社会发展的积极生活目标，养成自立自强、敬业乐群的心理品质和自尊自信、理性平和、积极向上的良好心态，提高应对挫折与适应社会的能力，掌握制订和执行职业生涯规划的方法，提升职业素养，为顺利就业创业创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8384" w:type="dxa"/>
            <w:gridSpan w:val="8"/>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哲学与人生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 xml:space="preserve">  初步掌握辩证唯物主义和历史唯物主义基本原理，运用马克思主义立场、观点和方法，观察分析经济、政治、文化、社会、生态文明等现象，对社会现实和人生问题进行正确价值判断和行为选择。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立足客观实际，树立人生理想</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8</w:t>
            </w:r>
          </w:p>
        </w:tc>
        <w:tc>
          <w:tcPr>
            <w:tcW w:w="1271"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辩证看问题，走好人生路</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10</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实践出真知，创新增才干</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8</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坚持唯物史观，在奉献中实现人生价值</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10</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 xml:space="preserve">  学生能够了解马克思主义哲学基本原理，运用辩证唯物主义和历史唯物主义观点认识世界，坚持实践第一的观点，一切从实际出发、实事求是，学会用具体问题具体分析等方法，正确认识社会问题，分析和处理个人成长中的人生问题，在生活中做出正确的价值判断和行为选择，自觉弘扬和践行社会主义核心价值观，为形成正确的世界观、人生观和价值观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8384" w:type="dxa"/>
            <w:gridSpan w:val="8"/>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职业道德与法治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1.正确认识劳动在人类社会发展中的作用，理解正确的职业理想对国家以及人生发展的作用，明确职业生涯规划对实现职业理想的重要性，懂得职业道德对职业发展和人生成长的意义；</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树立正确的劳动观、职业观、就业观、创业观和成才观，强化无论从事什么劳动和职业，都要有干一行、爱一行、钻一行的意识，增强职业道德意识，确立通过辛勤劳动、诚实劳动、创造性劳动实现自身发展的信念；</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3.了解与日常生活和职业活动密切相关的法律知识，理解法治是党领导人民治理国家的基本方式，明确建设社会主义法治国家的战略目标；</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4.树立宪法法律至上、法律面前人人平等的法治理念，形成法治让社会更和谐、生活更美好的认知和情感；学会从法的角度去认识和理解社会，养成依法行使权利、履行法定义务的思维方式和行为习惯。</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5.正确行使公民权利，自觉履行公民义务，热心公益事业，弘扬集体主义精神；</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6.遵守社会规则和公共道德，有序参与公共事务；</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7.乐于为人民服务，勇于担当社会责任。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主要内容</w:t>
            </w: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感悟道德力量</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6</w:t>
            </w:r>
          </w:p>
        </w:tc>
        <w:tc>
          <w:tcPr>
            <w:tcW w:w="1271"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践行职业道德基本规范</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8</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提升职业道德境界</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坚持全面依法治国</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维护宪法尊严</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遵循法律规范</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10</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学生能够理解全面依法治国的总目标，了解我国新时代加强公民道德建设、践行职业道德的主要内容及其重要意义；能够掌握加强职业道德修养的主要方法，初步具备依法维权和有序参与公共事务的能力；能够根据社会发展需要、结合自身实际，以道德和法律的要求规范自己的言行，做恪守道德规范、尊法学法守法用法的好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2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语文</w:t>
            </w: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学科核心</w:t>
            </w:r>
          </w:p>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素养</w:t>
            </w:r>
          </w:p>
        </w:tc>
        <w:tc>
          <w:tcPr>
            <w:tcW w:w="7134" w:type="dxa"/>
            <w:gridSpan w:val="7"/>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语言理解与运用、思维发展与提升、审美发现与鉴赏、文化传承与参与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学生通过阅读与欣赏、表达与交流及语文综合实践等活动，在语言理解与运用、思维发展与提升、审美发现与鉴赏、文化传承与参与几个方面都获得持续发展，自觉弘扬社会主义核心价值观，坚定文化自信，树立正确的人生理想，涵养职业精神，为适应个人终身发展和社会发展需要提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主要内容</w:t>
            </w:r>
          </w:p>
        </w:tc>
        <w:tc>
          <w:tcPr>
            <w:tcW w:w="1185" w:type="dxa"/>
            <w:vMerge w:val="restart"/>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基础模块</w:t>
            </w:r>
          </w:p>
        </w:tc>
        <w:tc>
          <w:tcPr>
            <w:tcW w:w="4213" w:type="dxa"/>
            <w:gridSpan w:val="4"/>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专题1：语感与语言习得</w:t>
            </w:r>
          </w:p>
        </w:tc>
        <w:tc>
          <w:tcPr>
            <w:tcW w:w="1736" w:type="dxa"/>
            <w:gridSpan w:val="2"/>
            <w:vMerge w:val="restart"/>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专题2：中外文学作品选读</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专题3：实用性阅读与交流</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专题4：古代诗文选读</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专题5：中国革命传统作品选读</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专题6：社会主义先进文化作品选读</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专题7：整本书阅读与研讨</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专题8：跨媒介阅读与交流</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185" w:type="dxa"/>
            <w:vMerge w:val="restart"/>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职业模块</w:t>
            </w:r>
          </w:p>
        </w:tc>
        <w:tc>
          <w:tcPr>
            <w:tcW w:w="4213" w:type="dxa"/>
            <w:gridSpan w:val="4"/>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专题1：劳模精神工匠精神作品研读</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专题2：职场应用写作与交流</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专题3：微写作</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专题4：科普作品选读</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185" w:type="dxa"/>
            <w:vMerge w:val="restart"/>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拓展模块</w:t>
            </w: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专题1：思辨性阅读与表达</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专题2：古代科技著述选读</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专题3：中外文学作品研读</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坚持立德树人，发挥语文课程独特的育人功能。引导学生树立正确的历史观、民族观、国家观、文化观，培养爱党爱国爱人民的深厚感情和积极的人生态度，增强社会责任感和历史使命感。</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整体把握语文学科核心素养，合理设计教学活动，深刻领会并树立发展学科核心素养的教学理念，要加强模块间的衔接与整合，与课程发展同步提高课程开发设计等专业能力。</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以学生发展为本，根据学生认知特点和能力水平组织教学。重视启发式、讨论式教学，强化关键能力培养，加强必要的基础知识教学和基本技能训练，引导学生自主、积极、愉快地参与或开展积极的言语实践，引导学生独立思考，自主学习，培养逻辑推理、信息加工能力，提高口语交际和文字写作的素养，养成终生学习的意识和能力。</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体现职业教育特点，加强实践与应用。采用语文综合实践教学组织形式，要打破时空与学科界限，有意识地加强课程内容与专业教育、职业生活的联系和配合，自然融入职业道德、职业精神教育，创设与行业企业相近的教学情境，逐步掌握运用语言文字的规律。</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提高信息素养，探索信息化背景下教与学方式的转变。创设更生动、逼真的学习情境，引导学生有效整合语文学习资源，开展基于网络的多种阅读与欣赏、表达与交流、语文综合实践等活动,改善师生的互动方式，提高自主学习的能力。适应新一代信息技术的发展趋势，优化语文学习环境，不断思考和探寻现代信息技术下的语文教学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数学</w:t>
            </w: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学科核心</w:t>
            </w:r>
          </w:p>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素养</w:t>
            </w:r>
          </w:p>
        </w:tc>
        <w:tc>
          <w:tcPr>
            <w:tcW w:w="7134" w:type="dxa"/>
            <w:gridSpan w:val="7"/>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数学运算、直观想象、逻辑推理、数学抽象、数据分析、数学建模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通过中等职业学校数学课程的学习，提高学生学习数学的兴趣，增强学好数学的主动性和自信心，养成理性思维、敢于质疑、善于思考的科学精神和精益求精的工匠精神，加深对数学的科学价值、应用价值、文化价值和审美价值的认识。</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在数学知识学习和数学能力培养的过程中，使学生逐步提高数学运算、直观想象、逻辑排理、数学抽象、数据分析和数学建模等数学学科核心素养，初步学会用数学眼光观察世界、用数学思维分析世界、用数学语言表达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主要内容</w:t>
            </w:r>
          </w:p>
        </w:tc>
        <w:tc>
          <w:tcPr>
            <w:tcW w:w="118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基础模块</w:t>
            </w: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基础知识</w:t>
            </w:r>
          </w:p>
        </w:tc>
        <w:tc>
          <w:tcPr>
            <w:tcW w:w="1736" w:type="dxa"/>
            <w:gridSpan w:val="2"/>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函数</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几何与代数</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概率与统计</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18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拓展模一</w:t>
            </w: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基础知识</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函数</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几何与代数</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概率与统计</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18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拓展模二</w:t>
            </w: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专题与案例</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落实立德树人，聚焦核心素养。教师必须坚持正确的育人理念，将社会主义核心价值观贯穿于发展学生数学学科核心素养的过程中，培养学生逐步形成正确的价值观念，要深刻理解数学学科核心素养的内涵、育人价值，将课程目标、教学内容、教学形式、教学方法和教学手段等聚焦于培养和发展学生的学科素养上。</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2.突出主体地位，改进教学方式。教师要实施以学生为中心的教学模式，根据学科特点、学生认识规律和专业特点，采用多种教学方式，采取低起点、重衔接、小梯度的教学策略。</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体现职教特色，注重实践应用。教学中，加强教学内容与社会生活、专业课程和职业应用的联系，创设或选择关联的教学情境，增加学生数学应用意识；选择或建立合适的数学模型，以解决问题为主线的教学方式，培养学生运用数学解决实际问题的能力。</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利用信息技术，提高教学效果。教师要不断提高课堂教学的信息化程度，重视利用软件和工具进行数据计算统计分析，善于利用网络平台获取资源，引导学生在网络中学习，创新学习方式、教学方式和教学评价，提高教学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英语</w:t>
            </w: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学科核心</w:t>
            </w:r>
          </w:p>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素养</w:t>
            </w:r>
          </w:p>
        </w:tc>
        <w:tc>
          <w:tcPr>
            <w:tcW w:w="7134" w:type="dxa"/>
            <w:gridSpan w:val="7"/>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职场语言沟通、思维差异感知、跨文化理解、自主学习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职场语言沟通目标：在日常英语的基础上，围绕职场相关主题，能运用所学语言知识，理解不同类型语篇所传递的意义和情感；能以口头或书面形式进行基本的沟通；能在职场中综合运用语言知识和技能进行交流。</w:t>
            </w:r>
          </w:p>
          <w:p>
            <w:pPr>
              <w:widowControl/>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2.思维差异感知目标：能理解英语在表达方式上体现出的中西思维差异；能理解英语在逻辑论证上体现出的中西思维差异；在了解中西思维差异的基础上，能客观对待不同观点，做出正确价值判断。</w:t>
            </w:r>
          </w:p>
          <w:p>
            <w:pPr>
              <w:widowControl/>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3.跨文化理解目标：能了解世界文化的多样性：能了解中外文化及中外企业文化；能进行基本的跨文化交流；能用英语讲述中国故事，促进中华优秀文化传播。</w:t>
            </w:r>
          </w:p>
          <w:p>
            <w:pPr>
              <w:widowControl/>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4.自主学习目标：能树立正确的英语学习观，具有明确的学习目标；能多渠道获取英语学习资源；能有效规划个人的学习，选择恰当的学习策略和方法；能监控、评价、反思和调整自己的学习内容和进程，提高学习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118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基础模块</w:t>
            </w: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自我与他人</w:t>
            </w:r>
          </w:p>
        </w:tc>
        <w:tc>
          <w:tcPr>
            <w:tcW w:w="1736" w:type="dxa"/>
            <w:gridSpan w:val="2"/>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学习与生活</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社会交往</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社会服务</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历史与文化</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科学与技术</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自然与环境</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可持续发展</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18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职业模块</w:t>
            </w: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求职应聘</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职场礼仪</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职场服务</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设备操作</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技术应用</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职场安全</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危机应对</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职业规划</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18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拓展模块</w:t>
            </w: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自我发展</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技术创新</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环境保护</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1.坚持立德树人，发挥英语课程育人功能。通过合理的教学活动，帮助学生学习语言的同时，形成对外国优秀文化的正确认识和对中华优秀文化的深刻认识，拓展国际视野，坚定文化自信。</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开展活动导向教学，落实学科核心素养。教师应深刻领会英语学科核心素养内涵，设计符合学生实际、目的明确、操作性强、丰富多样的课内外教学活动和任务，开展活动导向教学，引导学生在解决真是问题与完成实际任务的过程中，提升能力。</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3.尊重差异，促进学生的发展。教师应根据学生个体差异，有效整合课程内容，选择适当的教学方法和教学模式，为学生提供多样化的学习选择，让不同类型、不同层次的学生都能享受学习英语的乐趣。</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4.突出职业教育特点，重视实践应用。教师应根据英语课程目标与人才培养规格，有意识加强英语课程与专业教育和职业生活的联系，探索融合的教学新模式，重视学生语言实践英语能力培养。</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5.运用信息技术，促进教与学方式转变。将信息技术与英语课程深度融合，善于利用网络平台和教学资源，开展主动、个性化的学习活动，有效实施信息化教学。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信息技术</w:t>
            </w: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学科核心</w:t>
            </w:r>
          </w:p>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素养</w:t>
            </w:r>
          </w:p>
        </w:tc>
        <w:tc>
          <w:tcPr>
            <w:tcW w:w="7134" w:type="dxa"/>
            <w:gridSpan w:val="7"/>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信息意识、计算思维、数字化学习与创新、信息社会责任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118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基础模块</w:t>
            </w: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信息技术应用基础</w:t>
            </w:r>
          </w:p>
        </w:tc>
        <w:tc>
          <w:tcPr>
            <w:tcW w:w="1736" w:type="dxa"/>
            <w:gridSpan w:val="2"/>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网络应用</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图文编辑</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数据处理</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程序设计入门</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数字媒体技术应用</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信息安全基础</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人工智能初步</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18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拓展模块</w:t>
            </w: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计算机与移动终端维护</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小型网络系统搭建</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实用图册制作</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三维数字模型绘制</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数据报表编制</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数字媒体创意</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演示文稿制作</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个人网店开设</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信息安全保护</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机器人操作</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坚持立德树人，聚焦核心素养。要为学生创设感知和体验信息技术的应用情境，引导学生将问题与技术融合关联，找出解决方案，提炼计算思维的形成过程和表现形式，将其作为实施项目教学的线索，引导学生在解决问题的过程中经历分析思考、实践验证、反馈调整、逐步形成计算思维，不断提升数字化学习与创新能力。</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立足岗位需求，培养信息能力。结合学生专业，与学生职业发展需求深度融合，以实践项目为引领，以典型任务为驱动，实施行动导向教学，引导学生关联信息技术与职业知识，掌握岗位和任务情境中运用信息技术解决问题的综合技能。</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体现职业教育特点，注重实践技能训练。基础模块打好信息素养基础，分层实施知识性教学，注重运用信息技术工具强化实践技能训练和解决生产生活问题。拓展模块强化职业岗位情境中的实践技能训练，熟练运用信息技术完成相关的职业任务，培养所需的综合与迁移能力。</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创设数字化学习情境，强化自主学习与创新能力。积极运用信息化教学理念，创设以学生为中心的数字化学习情境，有机融合各种教学要素，合理设计教学环节，加强教学全过程的信息采集与诊断分析，鼓励学生积极进行数字化学习与创新实践，促进教与学、教与教、学与学、的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物理（机械建筑类）</w:t>
            </w: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学科核心素养</w:t>
            </w:r>
          </w:p>
        </w:tc>
        <w:tc>
          <w:tcPr>
            <w:tcW w:w="7134" w:type="dxa"/>
            <w:gridSpan w:val="7"/>
          </w:tcPr>
          <w:p>
            <w:pPr>
              <w:pStyle w:val="11"/>
              <w:spacing w:before="0" w:beforeAutospacing="0" w:after="0" w:afterAutospacing="0"/>
              <w:ind w:firstLine="482"/>
              <w:rPr>
                <w:rFonts w:ascii="仿宋_GB2312" w:eastAsia="仿宋_GB2312"/>
              </w:rPr>
            </w:pPr>
            <w:r>
              <w:rPr>
                <w:rFonts w:ascii="仿宋" w:hAnsi="仿宋" w:eastAsia="仿宋"/>
              </w:rPr>
              <w:t>物理观念及应用、科学思维与创新、科学实践与技能、科学态度与责任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pStyle w:val="11"/>
              <w:spacing w:before="0" w:beforeAutospacing="0" w:after="0" w:afterAutospacing="0"/>
              <w:ind w:firstLine="482"/>
              <w:rPr>
                <w:rFonts w:ascii="仿宋" w:hAnsi="仿宋" w:eastAsia="仿宋"/>
              </w:rPr>
            </w:pPr>
            <w:r>
              <w:rPr>
                <w:rFonts w:ascii="仿宋" w:hAnsi="仿宋" w:eastAsia="仿宋"/>
              </w:rPr>
              <w:t>物理课程要落实立德树人的根本任务，重视辩证唯物主义世界观和方法论教育，在完成义务教育的基础上，通过基础知识学习和实践，使学生在以下几方面获得发展。</w:t>
            </w:r>
          </w:p>
          <w:p>
            <w:pPr>
              <w:pStyle w:val="11"/>
              <w:spacing w:before="0" w:beforeAutospacing="0" w:after="0" w:afterAutospacing="0"/>
              <w:ind w:firstLine="482"/>
              <w:rPr>
                <w:rFonts w:ascii="仿宋" w:hAnsi="仿宋" w:eastAsia="仿宋"/>
              </w:rPr>
            </w:pPr>
            <w:r>
              <w:rPr>
                <w:rFonts w:ascii="仿宋" w:hAnsi="仿宋" w:eastAsia="仿宋"/>
              </w:rPr>
              <w:t>1.了解物质结构、运动与相互作用、能量等方面的基本概念和规律及其在生产、生活中的应用，形成基本的物理观念，能用其描述和解释自然现象，能解决实际问题。</w:t>
            </w:r>
          </w:p>
          <w:p>
            <w:pPr>
              <w:pStyle w:val="11"/>
              <w:spacing w:before="0" w:beforeAutospacing="0" w:after="0" w:afterAutospacing="0"/>
              <w:ind w:firstLine="482"/>
              <w:rPr>
                <w:rFonts w:ascii="仿宋" w:hAnsi="仿宋" w:eastAsia="仿宋"/>
              </w:rPr>
            </w:pPr>
            <w:r>
              <w:rPr>
                <w:rFonts w:ascii="仿宋" w:hAnsi="仿宋" w:eastAsia="仿宋"/>
              </w:rPr>
              <w:t>2.具有建构模型的意识和能力，并能根据实际问题需要，选用恰当的模型解决简单的物理问题；能对常见的物理问题提出合理的猜想与假设，进行分析和推理，找出规律，形成结论；能运用科学证据对所要解决的问题进行描述、解释和预测；具有批判性思维，能基于证据大胆质疑，能从不同角度思考解决问题的方法，追求技术创新。</w:t>
            </w:r>
          </w:p>
          <w:p>
            <w:pPr>
              <w:pStyle w:val="11"/>
              <w:spacing w:before="0" w:beforeAutospacing="0" w:after="0" w:afterAutospacing="0"/>
              <w:ind w:firstLine="482"/>
              <w:rPr>
                <w:rFonts w:ascii="仿宋" w:hAnsi="仿宋" w:eastAsia="仿宋"/>
              </w:rPr>
            </w:pPr>
            <w:r>
              <w:rPr>
                <w:rFonts w:ascii="仿宋" w:hAnsi="仿宋" w:eastAsia="仿宋"/>
              </w:rPr>
              <w:t>3.掌握实验观察的基本方法，能对记录的实验现象和结果进行科学分析和数据处理，得出正确结论；掌握物理实验的基本操作技能，具有规范操作、主动探索的意识和意愿，具有积极参与实践活动及通过动手实践提高知识领悟的意识和能力；了解物理在生产、生活和科学技术中的运用，初步具有工程思维和技术能力，能运用所学物理知识和技术解决简单的实际问题；具有探究设计的意识，初步具有发现问题、提出假设、设计验证方案、收集证据、结果验证、反思改进的能力。</w:t>
            </w:r>
          </w:p>
          <w:p>
            <w:pPr>
              <w:pStyle w:val="11"/>
              <w:spacing w:before="0" w:beforeAutospacing="0" w:after="0" w:afterAutospacing="0"/>
              <w:ind w:firstLine="482"/>
              <w:rPr>
                <w:rFonts w:ascii="仿宋" w:hAnsi="仿宋" w:eastAsia="仿宋"/>
              </w:rPr>
            </w:pPr>
            <w:r>
              <w:rPr>
                <w:rFonts w:ascii="仿宋" w:hAnsi="仿宋" w:eastAsia="仿宋"/>
              </w:rPr>
              <w:t>4.初步具有实事求是、一丝不苟、精益求精的科学态度和精神品质；具有主动与他人合作交流的意愿和能力，能基于证据表达自己的观点和见解，能耐心倾听他人意见；了解物理与科技进步及现代工程技术的紧密联系，关心国内外科技发展现状与趋势，了解我国传统技术及当今处于世界领先水平的科技成果，有为实现中华民族伟大复兴而不懈奋斗的信念和初步行动；认识科学·技术·社会·环境的关系，形成节能意识、环保意识，自觉践行绿色生活理念，增强可</w:t>
            </w:r>
            <w:r>
              <w:rPr>
                <w:rFonts w:hint="eastAsia" w:ascii="仿宋" w:hAnsi="仿宋" w:eastAsia="仿宋"/>
              </w:rPr>
              <w:t>持续发展的社会责任感。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4299" w:type="dxa"/>
            <w:gridSpan w:val="3"/>
          </w:tcPr>
          <w:p>
            <w:pPr>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运动和力</w:t>
            </w:r>
          </w:p>
        </w:tc>
        <w:tc>
          <w:tcPr>
            <w:tcW w:w="2835" w:type="dxa"/>
            <w:gridSpan w:val="4"/>
            <w:vMerge w:val="restart"/>
            <w:vAlign w:val="center"/>
          </w:tcPr>
          <w:p>
            <w:pPr>
              <w:adjustRightInd w:val="0"/>
              <w:snapToGrid w:val="0"/>
              <w:spacing w:beforeLines="0" w:after="0" w:afterAutospacing="0" w:line="240" w:lineRule="auto"/>
              <w:ind w:firstLine="240" w:firstLineChars="100"/>
              <w:jc w:val="center"/>
              <w:rPr>
                <w:rFonts w:ascii="仿宋_GB2312" w:hAnsi="宋体" w:eastAsia="仿宋_GB2312"/>
                <w:kern w:val="0"/>
              </w:rPr>
            </w:pPr>
            <w:r>
              <w:rPr>
                <w:rFonts w:ascii="仿宋_GB2312" w:hAnsi="宋体" w:eastAsia="仿宋_GB2312"/>
                <w:kern w:val="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功和能</w:t>
            </w:r>
          </w:p>
        </w:tc>
        <w:tc>
          <w:tcPr>
            <w:tcW w:w="2835" w:type="dxa"/>
            <w:gridSpan w:val="4"/>
            <w:vMerge w:val="continue"/>
          </w:tcPr>
          <w:p>
            <w:pPr>
              <w:adjustRightInd w:val="0"/>
              <w:snapToGrid w:val="0"/>
              <w:spacing w:beforeLines="0" w:after="0" w:afterAutospacing="0" w:line="240" w:lineRule="auto"/>
              <w:ind w:firstLine="240" w:firstLineChars="100"/>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热现象及能量守恒</w:t>
            </w:r>
          </w:p>
        </w:tc>
        <w:tc>
          <w:tcPr>
            <w:tcW w:w="2835" w:type="dxa"/>
            <w:gridSpan w:val="4"/>
            <w:vMerge w:val="continue"/>
          </w:tcPr>
          <w:p>
            <w:pPr>
              <w:adjustRightInd w:val="0"/>
              <w:snapToGrid w:val="0"/>
              <w:spacing w:beforeLines="0" w:after="0" w:afterAutospacing="0" w:line="240" w:lineRule="auto"/>
              <w:ind w:firstLine="240" w:firstLineChars="100"/>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直流电及其应用</w:t>
            </w:r>
          </w:p>
        </w:tc>
        <w:tc>
          <w:tcPr>
            <w:tcW w:w="2835" w:type="dxa"/>
            <w:gridSpan w:val="4"/>
            <w:vMerge w:val="continue"/>
          </w:tcPr>
          <w:p>
            <w:pPr>
              <w:adjustRightInd w:val="0"/>
              <w:snapToGrid w:val="0"/>
              <w:spacing w:beforeLines="0" w:after="0" w:afterAutospacing="0" w:line="240" w:lineRule="auto"/>
              <w:ind w:firstLine="240" w:firstLineChars="100"/>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电与磁及其应用</w:t>
            </w:r>
          </w:p>
        </w:tc>
        <w:tc>
          <w:tcPr>
            <w:tcW w:w="2835" w:type="dxa"/>
            <w:gridSpan w:val="4"/>
            <w:vMerge w:val="continue"/>
          </w:tcPr>
          <w:p>
            <w:pPr>
              <w:adjustRightInd w:val="0"/>
              <w:snapToGrid w:val="0"/>
              <w:spacing w:beforeLines="0" w:after="0" w:afterAutospacing="0" w:line="240" w:lineRule="auto"/>
              <w:ind w:firstLine="240" w:firstLineChars="100"/>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光现象及其应用</w:t>
            </w:r>
          </w:p>
        </w:tc>
        <w:tc>
          <w:tcPr>
            <w:tcW w:w="2835" w:type="dxa"/>
            <w:gridSpan w:val="4"/>
            <w:vMerge w:val="continue"/>
          </w:tcPr>
          <w:p>
            <w:pPr>
              <w:adjustRightInd w:val="0"/>
              <w:snapToGrid w:val="0"/>
              <w:spacing w:beforeLines="0" w:after="0" w:afterAutospacing="0" w:line="240" w:lineRule="auto"/>
              <w:ind w:firstLine="240" w:firstLineChars="100"/>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核能及其应用</w:t>
            </w:r>
          </w:p>
        </w:tc>
        <w:tc>
          <w:tcPr>
            <w:tcW w:w="2835" w:type="dxa"/>
            <w:gridSpan w:val="4"/>
            <w:vMerge w:val="continue"/>
          </w:tcPr>
          <w:p>
            <w:pPr>
              <w:adjustRightInd w:val="0"/>
              <w:snapToGrid w:val="0"/>
              <w:spacing w:beforeLines="0" w:after="0" w:afterAutospacing="0" w:line="240" w:lineRule="auto"/>
              <w:ind w:firstLine="240" w:firstLineChars="100"/>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机械振动与机械波</w:t>
            </w:r>
          </w:p>
        </w:tc>
        <w:tc>
          <w:tcPr>
            <w:tcW w:w="2835" w:type="dxa"/>
            <w:gridSpan w:val="4"/>
            <w:vMerge w:val="continue"/>
          </w:tcPr>
          <w:p>
            <w:pPr>
              <w:adjustRightInd w:val="0"/>
              <w:snapToGrid w:val="0"/>
              <w:spacing w:beforeLines="0" w:after="0" w:afterAutospacing="0" w:line="240" w:lineRule="auto"/>
              <w:ind w:firstLine="240" w:firstLineChars="100"/>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固体、液体和气体的性质及其应用</w:t>
            </w:r>
          </w:p>
        </w:tc>
        <w:tc>
          <w:tcPr>
            <w:tcW w:w="2835" w:type="dxa"/>
            <w:gridSpan w:val="4"/>
            <w:vMerge w:val="continue"/>
          </w:tcPr>
          <w:p>
            <w:pPr>
              <w:adjustRightInd w:val="0"/>
              <w:snapToGrid w:val="0"/>
              <w:spacing w:beforeLines="0" w:after="0" w:afterAutospacing="0" w:line="240" w:lineRule="auto"/>
              <w:ind w:firstLine="240" w:firstLineChars="100"/>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 w:hAnsi="仿宋" w:eastAsia="仿宋"/>
                <w:kern w:val="0"/>
              </w:rPr>
            </w:pPr>
            <w:r>
              <w:rPr>
                <w:rFonts w:hint="eastAsia" w:ascii="仿宋" w:hAnsi="仿宋" w:eastAsia="仿宋"/>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 w:hAnsi="仿宋" w:eastAsia="仿宋"/>
                <w:kern w:val="0"/>
              </w:rPr>
            </w:pPr>
            <w:r>
              <w:rPr>
                <w:rFonts w:hint="eastAsia" w:ascii="仿宋" w:hAnsi="仿宋" w:eastAsia="仿宋"/>
                <w:kern w:val="0"/>
              </w:rPr>
              <w:t>物理教师应根据课程标准，落实立德树人根本任务，以促进学生物理学科核心素养的形成和发展为目标，结合中等职业教育特点，遵循物理教育规律，从学生实际出发，创造性地开展教学活动，采用灵活多样的教学方法，充分开发和利用多种课程资源进行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化学</w:t>
            </w:r>
          </w:p>
        </w:tc>
        <w:tc>
          <w:tcPr>
            <w:tcW w:w="1250" w:type="dxa"/>
            <w:vAlign w:val="center"/>
          </w:tcPr>
          <w:p>
            <w:pPr>
              <w:adjustRightInd w:val="0"/>
              <w:snapToGrid w:val="0"/>
              <w:spacing w:beforeLines="0" w:after="0" w:afterAutospacing="0" w:line="240" w:lineRule="auto"/>
              <w:ind w:firstLine="0" w:firstLineChars="0"/>
              <w:jc w:val="center"/>
              <w:rPr>
                <w:rFonts w:ascii="仿宋" w:hAnsi="仿宋" w:eastAsia="仿宋"/>
                <w:kern w:val="0"/>
              </w:rPr>
            </w:pPr>
            <w:r>
              <w:rPr>
                <w:rFonts w:hint="eastAsia" w:ascii="仿宋" w:hAnsi="仿宋" w:eastAsia="仿宋"/>
                <w:kern w:val="0"/>
              </w:rPr>
              <w:t>学科核心素养</w:t>
            </w:r>
          </w:p>
        </w:tc>
        <w:tc>
          <w:tcPr>
            <w:tcW w:w="7134" w:type="dxa"/>
            <w:gridSpan w:val="7"/>
          </w:tcPr>
          <w:p>
            <w:pPr>
              <w:adjustRightInd w:val="0"/>
              <w:snapToGrid w:val="0"/>
              <w:spacing w:beforeLines="0" w:after="0" w:afterAutospacing="0" w:line="240" w:lineRule="auto"/>
              <w:ind w:firstLine="240" w:firstLineChars="100"/>
              <w:rPr>
                <w:rFonts w:ascii="仿宋" w:hAnsi="仿宋" w:eastAsia="仿宋"/>
                <w:kern w:val="0"/>
              </w:rPr>
            </w:pPr>
            <w:r>
              <w:rPr>
                <w:rFonts w:hint="eastAsia" w:ascii="仿宋" w:hAnsi="仿宋" w:eastAsia="仿宋"/>
                <w:kern w:val="0"/>
              </w:rPr>
              <w:t>宏观辨识与微观探析、变化观念与平衡思想、现象观察与规律认知、实验探究与创新意识、科学态度与社会责任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 w:hAnsi="仿宋" w:eastAsia="仿宋"/>
                <w:kern w:val="0"/>
              </w:rPr>
            </w:pPr>
            <w:r>
              <w:rPr>
                <w:rFonts w:hint="eastAsia" w:ascii="仿宋" w:hAnsi="仿宋" w:eastAsia="仿宋"/>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 w:hAnsi="仿宋" w:eastAsia="仿宋"/>
                <w:kern w:val="0"/>
              </w:rPr>
            </w:pPr>
            <w:r>
              <w:rPr>
                <w:rFonts w:ascii="仿宋" w:hAnsi="仿宋" w:eastAsia="仿宋"/>
                <w:kern w:val="0"/>
              </w:rPr>
              <w:t>1</w:t>
            </w:r>
            <w:r>
              <w:rPr>
                <w:rFonts w:hint="eastAsia" w:ascii="仿宋" w:hAnsi="仿宋" w:eastAsia="仿宋"/>
                <w:kern w:val="0"/>
              </w:rPr>
              <w:t>能依据组成和性质对常见物质进行辨识；能从微观结构探析物质的多样性，认识物质性质的差异、反应特征和变化规律，理解元素性质的递变规律；能使用化学符号描述常见物质及其变化；能从微观层面理解宏观现象并解释其原因。</w:t>
            </w:r>
          </w:p>
          <w:p>
            <w:pPr>
              <w:adjustRightInd w:val="0"/>
              <w:snapToGrid w:val="0"/>
              <w:spacing w:beforeLines="0" w:after="0" w:afterAutospacing="0" w:line="240" w:lineRule="auto"/>
              <w:ind w:firstLine="240" w:firstLineChars="100"/>
              <w:rPr>
                <w:rFonts w:ascii="仿宋" w:hAnsi="仿宋" w:eastAsia="仿宋"/>
                <w:kern w:val="0"/>
              </w:rPr>
            </w:pPr>
            <w:r>
              <w:rPr>
                <w:rFonts w:ascii="仿宋" w:hAnsi="仿宋" w:eastAsia="仿宋"/>
                <w:kern w:val="0"/>
              </w:rPr>
              <w:t>2</w:t>
            </w:r>
            <w:r>
              <w:rPr>
                <w:rFonts w:hint="eastAsia" w:ascii="仿宋" w:hAnsi="仿宋" w:eastAsia="仿宋"/>
                <w:kern w:val="0"/>
              </w:rPr>
              <w:t>理解物质是不断运动的，同时也是变化的；了解化学变化的本质、特征和规律，知道化学变化通常伴有能量变化；了解化学反应速率，建立化学平衡思想，能运用化学反应速率和化学平衡原理分析和解决生产、生活中简单的实际问题。</w:t>
            </w:r>
          </w:p>
          <w:p>
            <w:pPr>
              <w:adjustRightInd w:val="0"/>
              <w:snapToGrid w:val="0"/>
              <w:spacing w:beforeLines="0" w:after="0" w:afterAutospacing="0" w:line="240" w:lineRule="auto"/>
              <w:ind w:firstLine="240" w:firstLineChars="100"/>
              <w:rPr>
                <w:rFonts w:ascii="仿宋" w:hAnsi="仿宋" w:eastAsia="仿宋"/>
                <w:kern w:val="0"/>
              </w:rPr>
            </w:pPr>
            <w:r>
              <w:rPr>
                <w:rFonts w:ascii="仿宋" w:hAnsi="仿宋" w:eastAsia="仿宋"/>
                <w:kern w:val="0"/>
              </w:rPr>
              <w:t>3</w:t>
            </w:r>
            <w:r>
              <w:rPr>
                <w:rFonts w:hint="eastAsia" w:ascii="仿宋" w:hAnsi="仿宋" w:eastAsia="仿宋"/>
                <w:kern w:val="0"/>
              </w:rPr>
              <w:t>掌握观察化学反应现象的方法，能使用规范的化学语言准确地描述反应现象；能分析化学反应现象，认识反应的特征、规律和本质；能运用化学变化及其规律解决物质鉴别和分类等问题。</w:t>
            </w:r>
          </w:p>
          <w:p>
            <w:pPr>
              <w:adjustRightInd w:val="0"/>
              <w:snapToGrid w:val="0"/>
              <w:spacing w:beforeLines="0" w:after="0" w:afterAutospacing="0" w:line="240" w:lineRule="auto"/>
              <w:ind w:firstLine="240" w:firstLineChars="100"/>
              <w:rPr>
                <w:rFonts w:ascii="仿宋" w:hAnsi="仿宋" w:eastAsia="仿宋"/>
                <w:kern w:val="0"/>
              </w:rPr>
            </w:pPr>
            <w:r>
              <w:rPr>
                <w:rFonts w:ascii="仿宋" w:hAnsi="仿宋" w:eastAsia="仿宋"/>
                <w:kern w:val="0"/>
              </w:rPr>
              <w:t>4</w:t>
            </w:r>
            <w:r>
              <w:rPr>
                <w:rFonts w:hint="eastAsia" w:ascii="仿宋" w:hAnsi="仿宋" w:eastAsia="仿宋"/>
                <w:kern w:val="0"/>
              </w:rPr>
              <w:t>认识实验探究对学习化学课程的重要性，掌握化学实验基本操作技能；能主动与他人合作，体验实验探究过程，学会实验探究的基本方法，利用探究结果形成合理的结论；具有质疑与批判精神，初步形成创新意识。</w:t>
            </w:r>
          </w:p>
          <w:p>
            <w:pPr>
              <w:adjustRightInd w:val="0"/>
              <w:snapToGrid w:val="0"/>
              <w:spacing w:beforeLines="0" w:after="0" w:afterAutospacing="0" w:line="240" w:lineRule="auto"/>
              <w:ind w:firstLine="240" w:firstLineChars="100"/>
              <w:rPr>
                <w:rFonts w:ascii="仿宋" w:hAnsi="仿宋" w:eastAsia="仿宋"/>
                <w:kern w:val="0"/>
              </w:rPr>
            </w:pPr>
            <w:r>
              <w:rPr>
                <w:rFonts w:ascii="仿宋" w:hAnsi="仿宋" w:eastAsia="仿宋"/>
                <w:kern w:val="0"/>
              </w:rPr>
              <w:t>5</w:t>
            </w:r>
            <w:r>
              <w:rPr>
                <w:rFonts w:hint="eastAsia" w:ascii="仿宋" w:hAnsi="仿宋" w:eastAsia="仿宋"/>
                <w:kern w:val="0"/>
              </w:rPr>
              <w:t>具有严谨求实的科学态度和精益求精的工匠精神；增强探究物质性质和变化的兴趣，能主动关注、客观分析与化学相关的社会热点问题；能正确认识化学与人类进步、社会发展及生态文明的关系，形成节约、环保、安全的行动自觉，增强社会责任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4299" w:type="dxa"/>
            <w:gridSpan w:val="3"/>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原子结构与化学键</w:t>
            </w:r>
          </w:p>
        </w:tc>
        <w:tc>
          <w:tcPr>
            <w:tcW w:w="2835" w:type="dxa"/>
            <w:gridSpan w:val="4"/>
            <w:vMerge w:val="restart"/>
            <w:vAlign w:val="center"/>
          </w:tcPr>
          <w:p>
            <w:pPr>
              <w:adjustRightInd w:val="0"/>
              <w:snapToGrid w:val="0"/>
              <w:spacing w:beforeLines="0" w:after="0" w:afterAutospacing="0" w:line="240" w:lineRule="auto"/>
              <w:ind w:firstLine="240" w:firstLineChars="100"/>
              <w:jc w:val="center"/>
              <w:rPr>
                <w:rFonts w:ascii="仿宋_GB2312" w:hAnsi="宋体" w:eastAsia="仿宋_GB2312"/>
                <w:kern w:val="0"/>
              </w:rPr>
            </w:pPr>
            <w:r>
              <w:rPr>
                <w:rFonts w:ascii="仿宋_GB2312" w:hAnsi="宋体" w:eastAsia="仿宋_GB2312"/>
                <w:kern w:val="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化学反应及其规律</w:t>
            </w:r>
          </w:p>
        </w:tc>
        <w:tc>
          <w:tcPr>
            <w:tcW w:w="2835" w:type="dxa"/>
            <w:gridSpan w:val="4"/>
            <w:vMerge w:val="continue"/>
          </w:tcPr>
          <w:p>
            <w:pPr>
              <w:adjustRightInd w:val="0"/>
              <w:snapToGrid w:val="0"/>
              <w:spacing w:beforeLines="0" w:after="0" w:afterAutospacing="0" w:line="240" w:lineRule="auto"/>
              <w:ind w:firstLine="240" w:firstLineChars="10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溶液与水溶液中的例子反应</w:t>
            </w:r>
          </w:p>
        </w:tc>
        <w:tc>
          <w:tcPr>
            <w:tcW w:w="2835" w:type="dxa"/>
            <w:gridSpan w:val="4"/>
            <w:vMerge w:val="continue"/>
          </w:tcPr>
          <w:p>
            <w:pPr>
              <w:adjustRightInd w:val="0"/>
              <w:snapToGrid w:val="0"/>
              <w:spacing w:beforeLines="0" w:after="0" w:afterAutospacing="0" w:line="240" w:lineRule="auto"/>
              <w:ind w:firstLine="240" w:firstLineChars="10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常见无机物及其应用</w:t>
            </w:r>
          </w:p>
        </w:tc>
        <w:tc>
          <w:tcPr>
            <w:tcW w:w="2835" w:type="dxa"/>
            <w:gridSpan w:val="4"/>
            <w:vMerge w:val="continue"/>
          </w:tcPr>
          <w:p>
            <w:pPr>
              <w:adjustRightInd w:val="0"/>
              <w:snapToGrid w:val="0"/>
              <w:spacing w:beforeLines="0" w:after="0" w:afterAutospacing="0" w:line="240" w:lineRule="auto"/>
              <w:ind w:firstLine="240" w:firstLineChars="10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简单有机化合物及其应用</w:t>
            </w:r>
          </w:p>
        </w:tc>
        <w:tc>
          <w:tcPr>
            <w:tcW w:w="2835" w:type="dxa"/>
            <w:gridSpan w:val="4"/>
            <w:vMerge w:val="continue"/>
          </w:tcPr>
          <w:p>
            <w:pPr>
              <w:adjustRightInd w:val="0"/>
              <w:snapToGrid w:val="0"/>
              <w:spacing w:beforeLines="0" w:after="0" w:afterAutospacing="0" w:line="240" w:lineRule="auto"/>
              <w:ind w:firstLine="240" w:firstLineChars="10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常见生物分子及合成高分子化合物</w:t>
            </w:r>
          </w:p>
        </w:tc>
        <w:tc>
          <w:tcPr>
            <w:tcW w:w="2835" w:type="dxa"/>
            <w:gridSpan w:val="4"/>
            <w:vMerge w:val="continue"/>
          </w:tcPr>
          <w:p>
            <w:pPr>
              <w:adjustRightInd w:val="0"/>
              <w:snapToGrid w:val="0"/>
              <w:spacing w:beforeLines="0" w:after="0" w:afterAutospacing="0" w:line="240" w:lineRule="auto"/>
              <w:ind w:firstLine="240" w:firstLineChars="10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电化学基础与金属防护</w:t>
            </w:r>
          </w:p>
        </w:tc>
        <w:tc>
          <w:tcPr>
            <w:tcW w:w="2835" w:type="dxa"/>
            <w:gridSpan w:val="4"/>
            <w:vMerge w:val="continue"/>
          </w:tcPr>
          <w:p>
            <w:pPr>
              <w:adjustRightInd w:val="0"/>
              <w:snapToGrid w:val="0"/>
              <w:spacing w:beforeLines="0" w:after="0" w:afterAutospacing="0" w:line="240" w:lineRule="auto"/>
              <w:ind w:firstLine="240" w:firstLineChars="10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化学与材料</w:t>
            </w:r>
          </w:p>
        </w:tc>
        <w:tc>
          <w:tcPr>
            <w:tcW w:w="2835" w:type="dxa"/>
            <w:gridSpan w:val="4"/>
            <w:vMerge w:val="continue"/>
          </w:tcPr>
          <w:p>
            <w:pPr>
              <w:adjustRightInd w:val="0"/>
              <w:snapToGrid w:val="0"/>
              <w:spacing w:beforeLines="0" w:after="0" w:afterAutospacing="0" w:line="240" w:lineRule="auto"/>
              <w:ind w:firstLine="240" w:firstLineChars="10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化学教学要落实立德树人根本任务，以促进学生化学学科核心素养的形成和发展为目标，以服务发展和促进就业为导向，依据课程标准，体现职业教育特色，突出化学学科特点，遵循化学教育规律，从学生实际出发，创设问题情境，注重实践教学，充分利用信息技术开发多种课程资源，有效提高课程教学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历史</w:t>
            </w: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学科核心</w:t>
            </w:r>
          </w:p>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素养</w:t>
            </w:r>
          </w:p>
        </w:tc>
        <w:tc>
          <w:tcPr>
            <w:tcW w:w="7134" w:type="dxa"/>
            <w:gridSpan w:val="7"/>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唯物史观、时空观念、史料实证、历史解释、家国情怀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1.了解唯物史观的基本观点和方法，初步形成正确的历史观，能够将唯物史观运用于历史的学习和探究中，并将唯物史观作为认识和解释现实问题的指导思想。</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知道特定的史事是与特定的时间和空间相联系的，知道划分历史时间与空间的多种方式，能够在不同的时空框架下理解历史的变化与延续、统一与多样、局部与整体，在认识现实社会或职业问题时，能够将认识的对象置于具体的时空条件下进行考察。</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3.知道史料是通向历史认识的桥梁；了解史料的多种类型；能够尝试搜集、整理、运用可信的史料作为历史论述的证据；能够以实证精神对待现实问题。</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能够依据史实与史料对史事表达自己的看法；能够对同一史事的不同解释加以评析；学会从历史表象中发现问题，对史事之间的内在联系做出解释；能够全面客观地评价历史人物；能够实事求是地认识和评判现实社会与职业发展中的问题。</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5.树立正确的国家观，增强对祖国的认同感；认识中华民族 多元一体的历史发展进程，形成民族认同和正确的民族观，铸牢中华民族共同体意识；了解并认同中华先进文化，引导学生传承民族气节、崇尚英雄气概，认识中华文明的历史价值和现实意义；拥护中国共产党领导，认同社会主义核心价值观，树立“四个自信”；了解世界历史发展的基本进程，形成开阔的国际视野和人类命运共同体的意识；能够确立积极进取的人生态度，树立劳动光荣的观念，养成良好职业精神，树立正确世界观、人生观和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118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基础模块</w:t>
            </w:r>
          </w:p>
        </w:tc>
        <w:tc>
          <w:tcPr>
            <w:tcW w:w="4213" w:type="dxa"/>
            <w:gridSpan w:val="4"/>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中国历史</w:t>
            </w:r>
          </w:p>
        </w:tc>
        <w:tc>
          <w:tcPr>
            <w:tcW w:w="1736" w:type="dxa"/>
            <w:gridSpan w:val="2"/>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世界历史</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18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拓展模块</w:t>
            </w:r>
          </w:p>
        </w:tc>
        <w:tc>
          <w:tcPr>
            <w:tcW w:w="4213" w:type="dxa"/>
            <w:gridSpan w:val="4"/>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自主开发</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基于历史学科核心素养设计教学。结合不同教学内容所蕴含的历史学科核心素养的不同方面，合理设计教学目标、教学过程、教学评价，既注重对某一核心素养的专门培养，也注重对学科核心素养的综合培养，以科学有效地达成课程目标。</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2.倡导多元化的教学方式。结合教学内容，创新教学形式、教学过程和教学方法；鼓励学生开展自主学习、探究学习和合作学习，在做中教、做中学，调动和发挥学生学习的积极性、主动性和创造性。</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3.注重历史学习与学生职业发展的融合。教师应结合专业人才培养方案，创设与行业、专业相近的教学情境，设计体验未来职场的教学活动，探索课堂教学与专业实习实训相融合的教学模式。</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加强现代信息技术在历史教学中的应用。教师应有效运用现代信息技术，创设历史情境，指导学生充分利用各种信息资源，开展基于网络的自主学习，教师实时、动态监测与评价学习过程与结果，提供及时和针对性的指导，促进学生深度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艺术</w:t>
            </w: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学科核心</w:t>
            </w:r>
          </w:p>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素养</w:t>
            </w:r>
          </w:p>
        </w:tc>
        <w:tc>
          <w:tcPr>
            <w:tcW w:w="7134" w:type="dxa"/>
            <w:gridSpan w:val="7"/>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艺术感知、审美判断、创意表达、文化理解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通过课程学习，参与艺术实践活动，掌握必备的艺术知识和表现技能。运用观赏、体验、联系、比较、讨论等方法，感受艺术作品的形象及情感表现，识别不同艺术的表现特征和风格特点，体会不同地域、不同时代艺术的风采。</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结合艺术情境，依据艺术原理和其他知识对艺术作品和现实中的审美对象进行描述、分析、解释和判断，丰富审美经验，增强审美理解，提高审美判断能力，陶冶道德情操，塑造美好心灵，形成健康的审美情趣。</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3.根据一个主题或一项任务，运用特定媒介、材料和艺术表现手段或方法进行创意表达，尝试解决学习、工作和生活中的问题，美化生活，具有创新意识与表现能力。</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4.从文化的角度分析和理解作品，认识文化与艺术的关系，了解中国文化的源远流长和博大精深，热爱中华优秀文化，增进文化认同，坚定文化自信，尊重人类文化的多样性。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118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基础模块</w:t>
            </w:r>
          </w:p>
        </w:tc>
        <w:tc>
          <w:tcPr>
            <w:tcW w:w="4213" w:type="dxa"/>
            <w:gridSpan w:val="4"/>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音乐鉴赏与实践</w:t>
            </w:r>
          </w:p>
        </w:tc>
        <w:tc>
          <w:tcPr>
            <w:tcW w:w="1736" w:type="dxa"/>
            <w:gridSpan w:val="2"/>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美术鉴赏与实践</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18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拓展模块</w:t>
            </w:r>
          </w:p>
        </w:tc>
        <w:tc>
          <w:tcPr>
            <w:tcW w:w="4213" w:type="dxa"/>
            <w:gridSpan w:val="4"/>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歌唱、演奏、舞蹈、设计、中国书画、中国传统工艺、戏剧、影视、其它</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准确理解艺术学科核心素养，科学制定教学目标。正确把握课程性质与任务、目标与内涵，认识到四项学科核心素养既独立又融通，是具有内在逻辑关系的有机整体。教师要结合学情，将学科核心素养培养作为教学的出发点和落脚点，注重单项核心素养培养，也注重综合培育。</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深入分析艺术课程结构内容，加强课程衔接整合。基础模块重视知识积累，丰富审美体验，加深艺术理解，树立正确的价值取向，提高艺术鉴赏与实践能力，服务终身发展。拓展模块满足学生多元化发展需求，突出差异性和层次性，激发兴趣，提升艺术潜能。</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遵循身心发展和学习规律，精心设计组织教学。坚持“做中学、学中做”，创设合适教学情境，合理运用教学策略，通过多种教学形式，引导学生开展自主学习、探究学习和合作学习。合理利用现代信息技术，整合资源，拓展时空，丰富手段，优化课题教学，提升教学成效。</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4.积极适应学生职业发展需要，体现职业教育特色。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体育与</w:t>
            </w:r>
          </w:p>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健康</w:t>
            </w: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学科核心</w:t>
            </w:r>
          </w:p>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素养</w:t>
            </w:r>
          </w:p>
        </w:tc>
        <w:tc>
          <w:tcPr>
            <w:tcW w:w="7134" w:type="dxa"/>
            <w:gridSpan w:val="7"/>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运动能力、健康行为、体育精神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落实立德树人的根本任务，以体育人，增强学生体质。通过学习本课程，学生能够喜爱并积极参与体育运动，享受体育运动的乐趣，学会锻炼身体的科学方法，掌握1～2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使学生在运动能力、健康行为和体育精神三方面获得全面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1667" w:type="dxa"/>
            <w:gridSpan w:val="2"/>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基础模块</w:t>
            </w:r>
          </w:p>
        </w:tc>
        <w:tc>
          <w:tcPr>
            <w:tcW w:w="3731" w:type="dxa"/>
            <w:gridSpan w:val="3"/>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体能</w:t>
            </w:r>
          </w:p>
        </w:tc>
        <w:tc>
          <w:tcPr>
            <w:tcW w:w="1736" w:type="dxa"/>
            <w:gridSpan w:val="2"/>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highlight w:val="yellow"/>
              </w:rPr>
            </w:pPr>
            <w:r>
              <w:rPr>
                <w:rFonts w:hint="eastAsia" w:ascii="仿宋_GB2312" w:hAnsi="宋体" w:eastAsia="仿宋_GB2312"/>
                <w:kern w:val="0"/>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gridSpan w:val="2"/>
            <w:vMerge w:val="continue"/>
            <w:vAlign w:val="center"/>
          </w:tcPr>
          <w:p>
            <w:pPr>
              <w:spacing w:beforeLines="0" w:after="0" w:afterAutospacing="0" w:line="240" w:lineRule="auto"/>
              <w:ind w:firstLine="0" w:firstLineChars="0"/>
              <w:rPr>
                <w:rFonts w:ascii="仿宋_GB2312" w:hAnsi="宋体" w:eastAsia="仿宋_GB2312"/>
                <w:kern w:val="0"/>
              </w:rPr>
            </w:pPr>
          </w:p>
        </w:tc>
        <w:tc>
          <w:tcPr>
            <w:tcW w:w="3731" w:type="dxa"/>
            <w:gridSpan w:val="3"/>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健康教育</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667" w:type="dxa"/>
            <w:gridSpan w:val="2"/>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拓展模块一</w:t>
            </w:r>
          </w:p>
        </w:tc>
        <w:tc>
          <w:tcPr>
            <w:tcW w:w="3731" w:type="dxa"/>
            <w:gridSpan w:val="3"/>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限选2项运动技能</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667" w:type="dxa"/>
            <w:gridSpan w:val="2"/>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拓展模块二</w:t>
            </w:r>
          </w:p>
        </w:tc>
        <w:tc>
          <w:tcPr>
            <w:tcW w:w="3731" w:type="dxa"/>
            <w:gridSpan w:val="3"/>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任选（学校自主确定）</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坚持立德树人，发挥体育独特的育人功能。教师应加强对学生体育精神和体育品格的培养，培养团队合作意识和组织能力，体现中华优秀体育文化的精髓和内容，将体育教学过程变为目标、内容和方法有机融合的综合教学过程。</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遵循体育教学规律，提高学生运动能力。教师应加强运动技能形成的学理研究，具有难度递进的意识，优化设计运动技能模块的教学过程。要研究在技能教学中渗透学习知识或原理的方法，探索知识和实践活动有机结合的方法。保证运动负荷，提高学生课堂学习效果。</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把握课程结构，注重教学的整体设计。教师要把体育安全放在首位，通过项目模块选修、分组教学和分层教学等方法，因材施教，力争每个学生学有所获，学有所乐。掌握并运用各项体育素质的基本原理和练习方法，采用多样方式进行体能教学。要根据所学内容与学生实际，有效利用信息资源，丰富和拓展学生对健康的认知。</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强化职业教育特色，提高职业体能教学实践的针对性。结合中等职业学校学生体质现状，采用多种锻炼方法，提升学生体能，指导学生自我评价体能锻炼效果和改进计划。讨论研究常见职业性疾病的防治、职业安全等主题。</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5.倡导多元的学习方式，培养学生自主学习能力。教师要创设多元化情境，采用多种训练方式，激发学习兴趣和热情，鼓励学生选择运动项目深入学习，发展运动爱好和专长。重视信息技术手段，开展多种形式的线上线下学习。构建家庭、学校、社会三位一体的体育与健康教育平台，营造健康成长和全面发展的良好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7165" w:type="dxa"/>
            <w:gridSpan w:val="6"/>
            <w:vAlign w:val="center"/>
          </w:tcPr>
          <w:p>
            <w:pPr>
              <w:widowControl/>
              <w:shd w:val="clear" w:color="auto" w:fill="FFFFFF"/>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合计</w:t>
            </w:r>
          </w:p>
        </w:tc>
        <w:tc>
          <w:tcPr>
            <w:tcW w:w="2044" w:type="dxa"/>
            <w:gridSpan w:val="3"/>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仿宋_GB2312" w:hAnsi="宋体" w:eastAsia="仿宋_GB2312"/>
                <w:b/>
                <w:bCs/>
                <w:color w:val="000000"/>
                <w:kern w:val="0"/>
              </w:rPr>
              <w:t>1692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2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说明</w:t>
            </w:r>
          </w:p>
        </w:tc>
        <w:tc>
          <w:tcPr>
            <w:tcW w:w="8384" w:type="dxa"/>
            <w:gridSpan w:val="8"/>
            <w:vAlign w:val="center"/>
          </w:tcPr>
          <w:p>
            <w:pPr>
              <w:widowControl/>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1.国家安全教育、国防教育、节能减排、绿色环保、金融知识、社会责任、人口资源、海洋科学、管理等人文素养和科学素养方面的教育，学校将通过专题讲座或活动的形式，将有关知识融入到专业教学和社会实践（军训）中，以提高教育的针对性。</w:t>
            </w:r>
          </w:p>
          <w:p>
            <w:pPr>
              <w:widowControl/>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2.精心组织劳动实践、创新创业实践、志愿服务及其他社会公益活动，并与德育教育和就业教育相结合，纳入学生管理和共青团的工作范畴，统一规划，分步实施。</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3.健康教育的学科教学纳入体育与健康课程之中，利用下雨（雪）或高温（严寒）等时段进行，每学期保证6课时以上。</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4.劳动专题教育共计18课时，编制专门计划，与实践课程同步完成。</w:t>
            </w:r>
          </w:p>
        </w:tc>
      </w:tr>
    </w:tbl>
    <w:p>
      <w:pPr>
        <w:pStyle w:val="3"/>
        <w:spacing w:before="326" w:after="163" w:line="240" w:lineRule="auto"/>
        <w:ind w:firstLine="482"/>
        <w:rPr>
          <w:rFonts w:ascii="仿宋" w:hAnsi="仿宋" w:eastAsia="仿宋"/>
          <w:szCs w:val="24"/>
        </w:rPr>
      </w:pPr>
      <w:bookmarkStart w:id="34" w:name="_Toc135351543"/>
      <w:r>
        <w:rPr>
          <w:rFonts w:hint="eastAsia"/>
        </w:rPr>
        <w:t>（二）</w:t>
      </w:r>
      <w:r>
        <w:rPr>
          <w:rFonts w:hint="eastAsia" w:ascii="仿宋" w:hAnsi="仿宋" w:eastAsia="仿宋"/>
          <w:szCs w:val="24"/>
        </w:rPr>
        <w:t>专业核心课</w:t>
      </w:r>
      <w:bookmarkEnd w:id="34"/>
    </w:p>
    <w:p>
      <w:pPr>
        <w:pStyle w:val="19"/>
        <w:spacing w:before="0" w:beforeLines="0" w:line="240" w:lineRule="auto"/>
        <w:ind w:firstLine="480"/>
        <w:rPr>
          <w:rFonts w:ascii="仿宋" w:hAnsi="仿宋" w:eastAsia="仿宋" w:cs="宋体"/>
          <w:kern w:val="0"/>
        </w:rPr>
      </w:pPr>
      <w:r>
        <w:rPr>
          <w:rFonts w:hint="eastAsia" w:ascii="仿宋" w:hAnsi="仿宋" w:eastAsia="仿宋"/>
          <w:szCs w:val="24"/>
        </w:rPr>
        <w:t>专业核心课程包括机械制图、机械基础、极限配合与技术测量、CAD/CAM软件应用、</w:t>
      </w:r>
      <w:r>
        <w:rPr>
          <w:rFonts w:hint="eastAsia" w:ascii="仿宋" w:hAnsi="仿宋" w:eastAsia="仿宋" w:cs="仿宋"/>
          <w:color w:val="000000"/>
          <w:kern w:val="0"/>
          <w:lang w:bidi="ar"/>
        </w:rPr>
        <w:t>数控车削加工工艺与编程、数控铣削加工工艺与编程</w:t>
      </w:r>
    </w:p>
    <w:p>
      <w:pPr>
        <w:adjustRightInd w:val="0"/>
        <w:snapToGrid w:val="0"/>
        <w:spacing w:beforeLines="0" w:after="0" w:afterAutospacing="0" w:line="240" w:lineRule="auto"/>
        <w:ind w:firstLine="480"/>
        <w:jc w:val="center"/>
        <w:rPr>
          <w:rFonts w:ascii="仿宋" w:hAnsi="仿宋" w:eastAsia="仿宋" w:cs="宋体"/>
          <w:kern w:val="0"/>
        </w:rPr>
      </w:pPr>
      <w:r>
        <w:rPr>
          <w:rFonts w:hint="eastAsia" w:ascii="仿宋" w:hAnsi="仿宋" w:eastAsia="仿宋"/>
          <w:color w:val="000000"/>
        </w:rPr>
        <w:t>表</w:t>
      </w:r>
      <w:r>
        <w:rPr>
          <w:rFonts w:ascii="仿宋" w:hAnsi="仿宋" w:eastAsia="仿宋"/>
          <w:color w:val="000000"/>
        </w:rPr>
        <w:t>3</w:t>
      </w:r>
      <w:r>
        <w:rPr>
          <w:rFonts w:hint="eastAsia" w:ascii="仿宋" w:hAnsi="仿宋" w:eastAsia="仿宋"/>
          <w:color w:val="000000"/>
        </w:rPr>
        <w:t>：专业核心课开设情况一览表</w:t>
      </w:r>
    </w:p>
    <w:tbl>
      <w:tblPr>
        <w:tblStyle w:val="12"/>
        <w:tblW w:w="9786" w:type="dxa"/>
        <w:jc w:val="center"/>
        <w:tblLayout w:type="fixed"/>
        <w:tblCellMar>
          <w:top w:w="0" w:type="dxa"/>
          <w:left w:w="28" w:type="dxa"/>
          <w:bottom w:w="0" w:type="dxa"/>
          <w:right w:w="28" w:type="dxa"/>
        </w:tblCellMar>
      </w:tblPr>
      <w:tblGrid>
        <w:gridCol w:w="846"/>
        <w:gridCol w:w="1134"/>
        <w:gridCol w:w="3118"/>
        <w:gridCol w:w="4099"/>
        <w:gridCol w:w="589"/>
      </w:tblGrid>
      <w:tr>
        <w:tblPrEx>
          <w:tblCellMar>
            <w:top w:w="0" w:type="dxa"/>
            <w:left w:w="28" w:type="dxa"/>
            <w:bottom w:w="0" w:type="dxa"/>
            <w:right w:w="2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cstheme="minorBidi"/>
                <w:b/>
              </w:rPr>
            </w:pPr>
            <w:r>
              <w:rPr>
                <w:rFonts w:hint="eastAsia" w:ascii="仿宋" w:hAnsi="仿宋" w:eastAsia="仿宋"/>
                <w:b/>
              </w:rPr>
              <w:t>序号</w:t>
            </w:r>
          </w:p>
        </w:tc>
        <w:tc>
          <w:tcPr>
            <w:tcW w:w="1134"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b/>
              </w:rPr>
            </w:pPr>
            <w:r>
              <w:rPr>
                <w:rFonts w:hint="eastAsia" w:ascii="仿宋" w:hAnsi="仿宋" w:eastAsia="仿宋"/>
                <w:b/>
              </w:rPr>
              <w:t>课程名称</w:t>
            </w:r>
          </w:p>
        </w:tc>
        <w:tc>
          <w:tcPr>
            <w:tcW w:w="3118"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b/>
              </w:rPr>
            </w:pPr>
            <w:r>
              <w:rPr>
                <w:rFonts w:hint="eastAsia" w:ascii="仿宋" w:hAnsi="仿宋" w:eastAsia="仿宋"/>
                <w:b/>
              </w:rPr>
              <w:t>课程目标</w:t>
            </w:r>
          </w:p>
        </w:tc>
        <w:tc>
          <w:tcPr>
            <w:tcW w:w="4099"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b/>
              </w:rPr>
            </w:pPr>
            <w:r>
              <w:rPr>
                <w:rFonts w:hint="eastAsia" w:ascii="仿宋" w:hAnsi="仿宋" w:eastAsia="仿宋"/>
                <w:b/>
              </w:rPr>
              <w:t>主要教学内容和要求</w:t>
            </w:r>
          </w:p>
        </w:tc>
        <w:tc>
          <w:tcPr>
            <w:tcW w:w="589"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参考</w:t>
            </w:r>
          </w:p>
          <w:p>
            <w:pPr>
              <w:spacing w:beforeLines="0" w:after="0" w:afterAutospacing="0" w:line="240" w:lineRule="auto"/>
              <w:ind w:firstLine="0" w:firstLineChars="0"/>
              <w:jc w:val="center"/>
              <w:rPr>
                <w:rFonts w:ascii="仿宋" w:hAnsi="仿宋" w:eastAsia="仿宋"/>
                <w:b/>
              </w:rPr>
            </w:pPr>
            <w:r>
              <w:rPr>
                <w:rFonts w:hint="eastAsia" w:ascii="仿宋_GB2312" w:hAnsi="宋体" w:eastAsia="仿宋_GB2312"/>
                <w:b/>
                <w:color w:val="000000"/>
              </w:rPr>
              <w:t>学时</w:t>
            </w:r>
          </w:p>
        </w:tc>
      </w:tr>
      <w:tr>
        <w:tblPrEx>
          <w:tblCellMar>
            <w:top w:w="0" w:type="dxa"/>
            <w:left w:w="28" w:type="dxa"/>
            <w:bottom w:w="0" w:type="dxa"/>
            <w:right w:w="2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1</w:t>
            </w:r>
          </w:p>
        </w:tc>
        <w:tc>
          <w:tcPr>
            <w:tcW w:w="1134"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机械制图</w:t>
            </w:r>
          </w:p>
        </w:tc>
        <w:tc>
          <w:tcPr>
            <w:tcW w:w="3118"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480"/>
              <w:rPr>
                <w:rFonts w:ascii="仿宋" w:hAnsi="仿宋" w:eastAsia="仿宋"/>
              </w:rPr>
            </w:pPr>
            <w:r>
              <w:rPr>
                <w:rFonts w:hint="eastAsia" w:ascii="仿宋" w:hAnsi="仿宋" w:eastAsia="仿宋"/>
              </w:rPr>
              <w:t>使学生掌握机械制图的基本知识，获得读图和绘图能力，能执行机械制图国家标准和相关行业标准，能运用正投影法的基本原理和作图方法，识读中等复杂程度的零件图，并能识读简单的装配图，能绘制简单的零件图。培养学生分析问题和解决问题的能力，使其形成良好的学习习惯，具备继续学习专业技术的能力</w:t>
            </w:r>
          </w:p>
        </w:tc>
        <w:tc>
          <w:tcPr>
            <w:tcW w:w="4099"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480"/>
              <w:rPr>
                <w:rFonts w:ascii="仿宋" w:hAnsi="仿宋" w:eastAsia="仿宋" w:cs="宋体"/>
                <w:color w:val="333333"/>
                <w:kern w:val="0"/>
              </w:rPr>
            </w:pPr>
            <w:r>
              <w:rPr>
                <w:rFonts w:hint="eastAsia" w:ascii="仿宋" w:hAnsi="仿宋" w:eastAsia="仿宋" w:cs="宋体"/>
                <w:color w:val="333333"/>
                <w:kern w:val="0"/>
              </w:rPr>
              <w:t>1. 机械制图的基础知识：学生需要掌握机械制图的基本概念、标准和规范等内容，以便正确地理解和应用机械制图的知识。</w:t>
            </w:r>
          </w:p>
          <w:p>
            <w:pPr>
              <w:spacing w:beforeLines="0" w:after="0" w:afterAutospacing="0" w:line="240" w:lineRule="auto"/>
              <w:ind w:firstLine="480"/>
              <w:rPr>
                <w:rFonts w:ascii="仿宋" w:hAnsi="仿宋" w:eastAsia="仿宋" w:cs="宋体"/>
                <w:color w:val="333333"/>
                <w:kern w:val="0"/>
              </w:rPr>
            </w:pPr>
            <w:r>
              <w:rPr>
                <w:rFonts w:hint="eastAsia" w:ascii="仿宋" w:hAnsi="仿宋" w:eastAsia="仿宋" w:cs="宋体"/>
                <w:color w:val="333333"/>
                <w:kern w:val="0"/>
              </w:rPr>
              <w:t>2. 机械制图的绘图技能：学生需要熟练掌握机械制图所需的各种绘图技能，包括手绘图和计算机辅助绘图等。</w:t>
            </w:r>
          </w:p>
          <w:p>
            <w:pPr>
              <w:spacing w:beforeLines="0" w:after="0" w:afterAutospacing="0" w:line="240" w:lineRule="auto"/>
              <w:ind w:firstLine="480"/>
              <w:rPr>
                <w:rFonts w:ascii="仿宋" w:hAnsi="仿宋" w:eastAsia="仿宋"/>
              </w:rPr>
            </w:pPr>
            <w:r>
              <w:rPr>
                <w:rFonts w:hint="eastAsia" w:ascii="仿宋" w:hAnsi="仿宋" w:eastAsia="仿宋" w:cs="宋体"/>
                <w:color w:val="333333"/>
                <w:kern w:val="0"/>
              </w:rPr>
              <w:t>3. 机械制图的应用能力：学生需要具备将机械制图知识应用于实际工程设计中的能力，包括机械零件的设计、工程制图和工程标准等。</w:t>
            </w:r>
          </w:p>
        </w:tc>
        <w:tc>
          <w:tcPr>
            <w:tcW w:w="589" w:type="dxa"/>
            <w:tcBorders>
              <w:top w:val="single" w:color="000000" w:sz="4" w:space="0"/>
              <w:left w:val="nil"/>
              <w:bottom w:val="single" w:color="000000"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rPr>
            </w:pPr>
            <w:r>
              <w:rPr>
                <w:rFonts w:hint="eastAsia" w:ascii="仿宋" w:hAnsi="仿宋" w:eastAsia="仿宋" w:cs="仿宋"/>
                <w:color w:val="000000"/>
                <w:kern w:val="0"/>
                <w:lang w:bidi="ar"/>
              </w:rPr>
              <w:t>72</w:t>
            </w:r>
          </w:p>
        </w:tc>
      </w:tr>
      <w:tr>
        <w:tblPrEx>
          <w:tblCellMar>
            <w:top w:w="0" w:type="dxa"/>
            <w:left w:w="28" w:type="dxa"/>
            <w:bottom w:w="0" w:type="dxa"/>
            <w:right w:w="28" w:type="dxa"/>
          </w:tblCellMar>
        </w:tblPrEx>
        <w:trPr>
          <w:trHeight w:val="735" w:hRule="atLeast"/>
          <w:jc w:val="center"/>
        </w:trPr>
        <w:tc>
          <w:tcPr>
            <w:tcW w:w="846" w:type="dxa"/>
            <w:tcBorders>
              <w:top w:val="single" w:color="000000" w:sz="4" w:space="0"/>
              <w:left w:val="single" w:color="000000" w:sz="4" w:space="0"/>
              <w:bottom w:val="single" w:color="auto" w:sz="4" w:space="0"/>
              <w:right w:val="single" w:color="000000" w:sz="4" w:space="0"/>
            </w:tcBorders>
            <w:vAlign w:val="center"/>
          </w:tcPr>
          <w:p>
            <w:pPr>
              <w:spacing w:beforeLines="0" w:after="0" w:afterAutospacing="0" w:line="240" w:lineRule="auto"/>
              <w:ind w:firstLine="199" w:firstLineChars="83"/>
              <w:jc w:val="center"/>
              <w:rPr>
                <w:rFonts w:ascii="仿宋" w:hAnsi="仿宋" w:eastAsia="仿宋"/>
              </w:rPr>
            </w:pPr>
            <w:r>
              <w:rPr>
                <w:rFonts w:hint="eastAsia" w:ascii="仿宋" w:hAnsi="仿宋" w:eastAsia="仿宋"/>
              </w:rPr>
              <w:t>2</w:t>
            </w:r>
          </w:p>
        </w:tc>
        <w:tc>
          <w:tcPr>
            <w:tcW w:w="1134" w:type="dxa"/>
            <w:tcBorders>
              <w:top w:val="single" w:color="000000" w:sz="4" w:space="0"/>
              <w:left w:val="nil"/>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机械基础</w:t>
            </w:r>
          </w:p>
        </w:tc>
        <w:tc>
          <w:tcPr>
            <w:tcW w:w="3118" w:type="dxa"/>
            <w:tcBorders>
              <w:top w:val="single" w:color="000000" w:sz="4" w:space="0"/>
              <w:left w:val="nil"/>
              <w:bottom w:val="single" w:color="auto" w:sz="4" w:space="0"/>
              <w:right w:val="single" w:color="000000" w:sz="4" w:space="0"/>
            </w:tcBorders>
            <w:vAlign w:val="center"/>
          </w:tcPr>
          <w:p>
            <w:pPr>
              <w:widowControl/>
              <w:spacing w:beforeLines="0" w:after="0" w:afterAutospacing="0" w:line="240" w:lineRule="auto"/>
              <w:ind w:firstLine="480"/>
              <w:jc w:val="left"/>
              <w:rPr>
                <w:rFonts w:ascii="仿宋" w:hAnsi="仿宋" w:eastAsia="仿宋" w:cs="宋体"/>
                <w:kern w:val="0"/>
              </w:rPr>
            </w:pPr>
            <w:r>
              <w:rPr>
                <w:rFonts w:hint="eastAsia" w:ascii="仿宋" w:hAnsi="仿宋" w:eastAsia="仿宋" w:cs="宋体"/>
                <w:kern w:val="0"/>
              </w:rPr>
              <w:t>使学生熟悉常用机械工程材料的种类、牌号、性能及应用，会合理选用机械工程材料；了解金属材料热处理的基本知识；掌握常用机构、机械传动、轴系零件的基本知识，初步具有分析和选用机械零部件及简单机械传动装置的能力；能熟练查阅、运用有关资料，初步具有正确操作和维护机械设备的能力；熟悉常用机械制造基础知识；</w:t>
            </w:r>
          </w:p>
        </w:tc>
        <w:tc>
          <w:tcPr>
            <w:tcW w:w="4099" w:type="dxa"/>
            <w:tcBorders>
              <w:top w:val="single" w:color="000000"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left"/>
              <w:rPr>
                <w:rFonts w:ascii="仿宋" w:hAnsi="仿宋" w:eastAsia="仿宋" w:cs="宋体"/>
                <w:kern w:val="0"/>
              </w:rPr>
            </w:pPr>
            <w:r>
              <w:rPr>
                <w:rFonts w:hint="eastAsia" w:ascii="仿宋" w:hAnsi="仿宋" w:eastAsia="仿宋" w:cs="宋体"/>
                <w:kern w:val="0"/>
              </w:rPr>
              <w:t>1．理解机器的基本概念，掌握机器的组成；</w:t>
            </w:r>
          </w:p>
          <w:p>
            <w:pPr>
              <w:widowControl/>
              <w:spacing w:beforeLines="0" w:after="0" w:afterAutospacing="0" w:line="240" w:lineRule="auto"/>
              <w:ind w:firstLine="0" w:firstLineChars="0"/>
              <w:jc w:val="left"/>
              <w:rPr>
                <w:rFonts w:ascii="仿宋" w:hAnsi="仿宋" w:eastAsia="仿宋" w:cs="宋体"/>
                <w:kern w:val="0"/>
              </w:rPr>
            </w:pPr>
            <w:r>
              <w:rPr>
                <w:rFonts w:hint="eastAsia" w:ascii="仿宋" w:hAnsi="仿宋" w:eastAsia="仿宋" w:cs="宋体"/>
                <w:kern w:val="0"/>
              </w:rPr>
              <w:t>2．掌握常用工程材料的分类、牌号、性能及应用，明确热处理的目的，了解热处理的方法及应用；</w:t>
            </w:r>
          </w:p>
          <w:p>
            <w:pPr>
              <w:widowControl/>
              <w:spacing w:beforeLines="0" w:after="0" w:afterAutospacing="0" w:line="240" w:lineRule="auto"/>
              <w:ind w:firstLine="0" w:firstLineChars="0"/>
              <w:jc w:val="left"/>
              <w:rPr>
                <w:rFonts w:ascii="仿宋" w:hAnsi="仿宋" w:eastAsia="仿宋" w:cs="宋体"/>
                <w:kern w:val="0"/>
              </w:rPr>
            </w:pPr>
            <w:r>
              <w:rPr>
                <w:rFonts w:hint="eastAsia" w:ascii="仿宋" w:hAnsi="仿宋" w:eastAsia="仿宋" w:cs="宋体"/>
                <w:kern w:val="0"/>
              </w:rPr>
              <w:t>3．掌握平面连杆机构、凸轮机构等常用机构的组成、原理及应用；</w:t>
            </w:r>
          </w:p>
          <w:p>
            <w:pPr>
              <w:widowControl/>
              <w:spacing w:beforeLines="0" w:after="0" w:afterAutospacing="0" w:line="240" w:lineRule="auto"/>
              <w:ind w:firstLine="0" w:firstLineChars="0"/>
              <w:jc w:val="left"/>
              <w:rPr>
                <w:rFonts w:ascii="仿宋" w:hAnsi="仿宋" w:eastAsia="仿宋" w:cs="宋体"/>
                <w:kern w:val="0"/>
              </w:rPr>
            </w:pPr>
            <w:r>
              <w:rPr>
                <w:rFonts w:hint="eastAsia" w:ascii="仿宋" w:hAnsi="仿宋" w:eastAsia="仿宋" w:cs="宋体"/>
                <w:kern w:val="0"/>
              </w:rPr>
              <w:t>4．掌握带传动、齿轮传动等常用机械传动的组成、工作原理、传动特点，了解轮系的分类与应用，会计算定轴轮系的传动比；</w:t>
            </w:r>
          </w:p>
          <w:p>
            <w:pPr>
              <w:widowControl/>
              <w:spacing w:beforeLines="0" w:after="0" w:afterAutospacing="0" w:line="240" w:lineRule="auto"/>
              <w:ind w:firstLine="0" w:firstLineChars="0"/>
              <w:jc w:val="left"/>
              <w:rPr>
                <w:rFonts w:ascii="仿宋" w:hAnsi="仿宋" w:eastAsia="仿宋" w:cs="宋体"/>
                <w:kern w:val="0"/>
              </w:rPr>
            </w:pPr>
            <w:r>
              <w:rPr>
                <w:rFonts w:hint="eastAsia" w:ascii="仿宋" w:hAnsi="仿宋" w:eastAsia="仿宋" w:cs="宋体"/>
                <w:kern w:val="0"/>
              </w:rPr>
              <w:t>5．掌握轴、轴承、联轴器、离合器和制动器等轴系零件的结构、特点、常用材料和应用场合及有关标准和选用方法。</w:t>
            </w:r>
          </w:p>
        </w:tc>
        <w:tc>
          <w:tcPr>
            <w:tcW w:w="589" w:type="dxa"/>
            <w:tcBorders>
              <w:top w:val="single" w:color="000000"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theme="minorBidi"/>
              </w:rPr>
            </w:pPr>
            <w:r>
              <w:rPr>
                <w:rFonts w:hint="eastAsia" w:ascii="仿宋" w:hAnsi="仿宋" w:eastAsia="仿宋" w:cs="仿宋"/>
                <w:color w:val="000000"/>
                <w:kern w:val="0"/>
                <w:lang w:bidi="ar"/>
              </w:rPr>
              <w:t>72</w:t>
            </w:r>
          </w:p>
        </w:tc>
      </w:tr>
      <w:tr>
        <w:tblPrEx>
          <w:tblCellMar>
            <w:top w:w="0" w:type="dxa"/>
            <w:left w:w="28" w:type="dxa"/>
            <w:bottom w:w="0" w:type="dxa"/>
            <w:right w:w="28" w:type="dxa"/>
          </w:tblCellMar>
        </w:tblPrEx>
        <w:trPr>
          <w:trHeight w:val="835"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3</w:t>
            </w:r>
          </w:p>
        </w:tc>
        <w:tc>
          <w:tcPr>
            <w:tcW w:w="1134"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cs="宋体"/>
              </w:rPr>
            </w:pPr>
            <w:r>
              <w:rPr>
                <w:rFonts w:hint="eastAsia" w:ascii="仿宋" w:hAnsi="仿宋" w:eastAsia="仿宋" w:cs="仿宋"/>
              </w:rPr>
              <w:t>极限配合与技术测量</w:t>
            </w:r>
          </w:p>
        </w:tc>
        <w:tc>
          <w:tcPr>
            <w:tcW w:w="3118"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theme="minorBidi"/>
              </w:rPr>
            </w:pPr>
            <w:r>
              <w:rPr>
                <w:rFonts w:hint="eastAsia" w:ascii="仿宋" w:hAnsi="仿宋" w:eastAsia="仿宋" w:cstheme="minorBidi"/>
              </w:rPr>
              <w:t>使学生能够理解互换性、标准化与计量的基本概念；理解公差与配合的基本术语及定义，懂得其基本内容和特点，掌握零件的精度设计内容和方法；掌握正确查阅公差表格的方法，掌握各项公差的标注方法，理解机械图样上有关几何要素的技术要求；.了解几何参数测量的基本原理和方法，学会常用计量器具的使用，初步具备测量几何参数的基本技能。</w:t>
            </w:r>
          </w:p>
        </w:tc>
        <w:tc>
          <w:tcPr>
            <w:tcW w:w="4099"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leftChars="-14" w:hanging="33" w:hangingChars="14"/>
              <w:rPr>
                <w:rFonts w:ascii="仿宋" w:hAnsi="仿宋" w:eastAsia="仿宋"/>
                <w:kern w:val="0"/>
              </w:rPr>
            </w:pPr>
            <w:r>
              <w:rPr>
                <w:rFonts w:hint="eastAsia" w:ascii="仿宋" w:hAnsi="仿宋" w:eastAsia="仿宋"/>
                <w:kern w:val="0"/>
              </w:rPr>
              <w:t>1.了解国家标准中有关极限与配合的基本术语及其定义，掌握极限与配合方面的基本计算方法及代号的标注与识读；</w:t>
            </w:r>
          </w:p>
          <w:p>
            <w:pPr>
              <w:spacing w:beforeLines="0" w:after="0" w:afterAutospacing="0" w:line="240" w:lineRule="auto"/>
              <w:ind w:leftChars="-14" w:hanging="33" w:hangingChars="14"/>
              <w:rPr>
                <w:rFonts w:ascii="仿宋" w:hAnsi="仿宋" w:eastAsia="仿宋"/>
                <w:kern w:val="0"/>
              </w:rPr>
            </w:pPr>
            <w:r>
              <w:rPr>
                <w:rFonts w:ascii="仿宋" w:hAnsi="仿宋" w:eastAsia="仿宋"/>
                <w:kern w:val="0"/>
              </w:rPr>
              <w:t>2</w:t>
            </w:r>
            <w:r>
              <w:rPr>
                <w:rFonts w:hint="eastAsia" w:ascii="仿宋" w:hAnsi="仿宋" w:eastAsia="仿宋"/>
                <w:kern w:val="0"/>
              </w:rPr>
              <w:t>.理解极限与配合的基本规定，掌握有关公差表格的使用方法；熟悉公差带与配合的选用方法与原则，能够对典型应用场合做出初步选择。</w:t>
            </w:r>
          </w:p>
          <w:p>
            <w:pPr>
              <w:spacing w:beforeLines="0" w:after="0" w:afterAutospacing="0" w:line="240" w:lineRule="auto"/>
              <w:ind w:leftChars="-14" w:hanging="33" w:hangingChars="14"/>
              <w:rPr>
                <w:rFonts w:ascii="仿宋" w:hAnsi="仿宋" w:eastAsia="仿宋"/>
                <w:kern w:val="0"/>
              </w:rPr>
            </w:pPr>
            <w:r>
              <w:rPr>
                <w:rFonts w:ascii="仿宋" w:hAnsi="仿宋" w:eastAsia="仿宋"/>
                <w:kern w:val="0"/>
              </w:rPr>
              <w:t>3</w:t>
            </w:r>
            <w:r>
              <w:rPr>
                <w:rFonts w:hint="eastAsia" w:ascii="仿宋" w:hAnsi="仿宋" w:eastAsia="仿宋"/>
                <w:kern w:val="0"/>
              </w:rPr>
              <w:t>.了解有关测量的基本知识及测量误差的来源；理解常用计量器具的读数原理；掌握计量器具的使用方法。</w:t>
            </w:r>
          </w:p>
          <w:p>
            <w:pPr>
              <w:spacing w:beforeLines="0" w:after="0" w:afterAutospacing="0" w:line="240" w:lineRule="auto"/>
              <w:ind w:leftChars="-14" w:hanging="33" w:hangingChars="14"/>
              <w:rPr>
                <w:rFonts w:ascii="仿宋" w:hAnsi="仿宋" w:eastAsia="仿宋"/>
                <w:kern w:val="0"/>
              </w:rPr>
            </w:pPr>
            <w:r>
              <w:rPr>
                <w:rFonts w:ascii="仿宋" w:hAnsi="仿宋" w:eastAsia="仿宋"/>
                <w:kern w:val="0"/>
              </w:rPr>
              <w:t>4</w:t>
            </w:r>
            <w:r>
              <w:rPr>
                <w:rFonts w:hint="eastAsia" w:ascii="仿宋" w:hAnsi="仿宋" w:eastAsia="仿宋"/>
                <w:kern w:val="0"/>
              </w:rPr>
              <w:t>.了解表面粗糙度的评定标准及基本检测方法；</w:t>
            </w:r>
          </w:p>
          <w:p>
            <w:pPr>
              <w:spacing w:beforeLines="0" w:after="0" w:afterAutospacing="0" w:line="240" w:lineRule="auto"/>
              <w:ind w:leftChars="-14" w:hanging="33" w:hangingChars="14"/>
              <w:rPr>
                <w:rFonts w:ascii="仿宋" w:hAnsi="仿宋" w:eastAsia="仿宋" w:cstheme="minorBidi"/>
              </w:rPr>
            </w:pPr>
            <w:r>
              <w:rPr>
                <w:rFonts w:ascii="仿宋" w:hAnsi="仿宋" w:eastAsia="仿宋"/>
                <w:kern w:val="0"/>
              </w:rPr>
              <w:t>5</w:t>
            </w:r>
            <w:r>
              <w:rPr>
                <w:rFonts w:hint="eastAsia" w:ascii="仿宋" w:hAnsi="仿宋" w:eastAsia="仿宋"/>
                <w:kern w:val="0"/>
              </w:rPr>
              <w:t>.了解螺纹和齿轮的主要参数及公差特点，掌握螺纹的检验方法</w:t>
            </w:r>
          </w:p>
        </w:tc>
        <w:tc>
          <w:tcPr>
            <w:tcW w:w="58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rPr>
            </w:pPr>
            <w:r>
              <w:rPr>
                <w:rFonts w:hint="eastAsia" w:ascii="仿宋" w:hAnsi="仿宋" w:eastAsia="仿宋" w:cs="仿宋"/>
                <w:color w:val="000000"/>
                <w:kern w:val="0"/>
                <w:lang w:bidi="ar"/>
              </w:rPr>
              <w:t>36</w:t>
            </w:r>
          </w:p>
        </w:tc>
      </w:tr>
      <w:tr>
        <w:tblPrEx>
          <w:tblCellMar>
            <w:top w:w="0" w:type="dxa"/>
            <w:left w:w="28" w:type="dxa"/>
            <w:bottom w:w="0" w:type="dxa"/>
            <w:right w:w="28" w:type="dxa"/>
          </w:tblCellMar>
        </w:tblPrEx>
        <w:trPr>
          <w:trHeight w:val="835"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ascii="仿宋" w:hAnsi="仿宋" w:eastAsia="仿宋"/>
              </w:rPr>
              <w:t>4</w:t>
            </w:r>
          </w:p>
        </w:tc>
        <w:tc>
          <w:tcPr>
            <w:tcW w:w="1134"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cs="仿宋"/>
              </w:rPr>
            </w:pPr>
            <w:r>
              <w:rPr>
                <w:rFonts w:hint="eastAsia" w:ascii="仿宋" w:hAnsi="仿宋" w:eastAsia="仿宋"/>
              </w:rPr>
              <w:t>CAD/CAM软件应用</w:t>
            </w:r>
          </w:p>
        </w:tc>
        <w:tc>
          <w:tcPr>
            <w:tcW w:w="3118"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Tahoma"/>
              </w:rPr>
            </w:pPr>
            <w:r>
              <w:rPr>
                <w:rFonts w:hint="eastAsia" w:ascii="仿宋" w:hAnsi="仿宋" w:eastAsia="仿宋" w:cs="Tahoma"/>
              </w:rPr>
              <w:t>使学生能熟练掌握CAD软件的使用方法和技巧；能够独立完成2D和3D绘图任务；能遵守CAD绘图的标准和规范；能够分析和解决CAD绘图中遇到的问题和难点。</w:t>
            </w:r>
          </w:p>
        </w:tc>
        <w:tc>
          <w:tcPr>
            <w:tcW w:w="4099"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kern w:val="0"/>
              </w:rPr>
            </w:pPr>
            <w:r>
              <w:rPr>
                <w:rFonts w:hint="eastAsia" w:ascii="仿宋" w:hAnsi="仿宋" w:eastAsia="仿宋"/>
                <w:kern w:val="0"/>
              </w:rPr>
              <w:t>1．掌握基本的二维绘图和编辑方法及其应用。</w:t>
            </w:r>
          </w:p>
          <w:p>
            <w:pPr>
              <w:spacing w:beforeLines="0" w:after="0" w:afterAutospacing="0" w:line="240" w:lineRule="auto"/>
              <w:ind w:firstLine="0" w:firstLineChars="0"/>
              <w:rPr>
                <w:rFonts w:ascii="仿宋" w:hAnsi="仿宋" w:eastAsia="仿宋"/>
                <w:kern w:val="0"/>
              </w:rPr>
            </w:pPr>
            <w:r>
              <w:rPr>
                <w:rFonts w:hint="eastAsia" w:ascii="仿宋" w:hAnsi="仿宋" w:eastAsia="仿宋"/>
                <w:kern w:val="0"/>
              </w:rPr>
              <w:t>2．掌握文本、尺寸的标注与编辑方法。</w:t>
            </w:r>
          </w:p>
          <w:p>
            <w:pPr>
              <w:spacing w:beforeLines="0" w:after="0" w:afterAutospacing="0" w:line="240" w:lineRule="auto"/>
              <w:ind w:firstLine="0" w:firstLineChars="0"/>
              <w:rPr>
                <w:rFonts w:ascii="仿宋" w:hAnsi="仿宋" w:eastAsia="仿宋"/>
                <w:kern w:val="0"/>
              </w:rPr>
            </w:pPr>
            <w:r>
              <w:rPr>
                <w:rFonts w:hint="eastAsia" w:ascii="仿宋" w:hAnsi="仿宋" w:eastAsia="仿宋"/>
                <w:kern w:val="0"/>
              </w:rPr>
              <w:t>3．掌握图块的基本操作以及定义和编辑块属性的方法。</w:t>
            </w:r>
          </w:p>
          <w:p>
            <w:pPr>
              <w:spacing w:beforeLines="0" w:after="0" w:afterAutospacing="0" w:line="240" w:lineRule="auto"/>
              <w:ind w:firstLine="0" w:firstLineChars="0"/>
              <w:rPr>
                <w:rFonts w:ascii="仿宋" w:hAnsi="仿宋" w:eastAsia="仿宋"/>
                <w:kern w:val="0"/>
              </w:rPr>
            </w:pPr>
            <w:r>
              <w:rPr>
                <w:rFonts w:hint="eastAsia" w:ascii="仿宋" w:hAnsi="仿宋" w:eastAsia="仿宋"/>
                <w:kern w:val="0"/>
              </w:rPr>
              <w:t>4．掌握图纸的设置及打印出图的方法。</w:t>
            </w:r>
          </w:p>
          <w:p>
            <w:pPr>
              <w:spacing w:beforeLines="0" w:after="0" w:afterAutospacing="0" w:line="240" w:lineRule="auto"/>
              <w:ind w:firstLine="0" w:firstLineChars="0"/>
              <w:rPr>
                <w:rFonts w:ascii="仿宋" w:hAnsi="仿宋" w:eastAsia="仿宋"/>
                <w:kern w:val="0"/>
              </w:rPr>
            </w:pPr>
            <w:r>
              <w:rPr>
                <w:rFonts w:hint="eastAsia" w:ascii="仿宋" w:hAnsi="仿宋" w:eastAsia="仿宋"/>
                <w:kern w:val="0"/>
              </w:rPr>
              <w:t>5．掌握三维实体的基本造型方法，会利用拉伸、旋转、布尔运算生成简单实体。</w:t>
            </w:r>
          </w:p>
        </w:tc>
        <w:tc>
          <w:tcPr>
            <w:tcW w:w="58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仿宋"/>
                <w:color w:val="000000"/>
                <w:kern w:val="0"/>
                <w:lang w:bidi="ar"/>
              </w:rPr>
            </w:pPr>
            <w:r>
              <w:rPr>
                <w:rFonts w:ascii="仿宋" w:hAnsi="仿宋" w:eastAsia="仿宋" w:cs="仿宋"/>
                <w:color w:val="000000"/>
                <w:kern w:val="0"/>
                <w:lang w:bidi="ar"/>
              </w:rPr>
              <w:t>144</w:t>
            </w:r>
          </w:p>
        </w:tc>
      </w:tr>
      <w:tr>
        <w:tblPrEx>
          <w:tblCellMar>
            <w:top w:w="0" w:type="dxa"/>
            <w:left w:w="28" w:type="dxa"/>
            <w:bottom w:w="0" w:type="dxa"/>
            <w:right w:w="28" w:type="dxa"/>
          </w:tblCellMar>
        </w:tblPrEx>
        <w:trPr>
          <w:trHeight w:val="630"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ascii="仿宋" w:hAnsi="仿宋" w:eastAsia="仿宋"/>
              </w:rPr>
              <w:t>5</w:t>
            </w:r>
          </w:p>
        </w:tc>
        <w:tc>
          <w:tcPr>
            <w:tcW w:w="1134"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宋体"/>
                <w:kern w:val="0"/>
              </w:rPr>
            </w:pPr>
            <w:r>
              <w:rPr>
                <w:rFonts w:hint="eastAsia" w:ascii="仿宋" w:hAnsi="仿宋" w:eastAsia="仿宋" w:cs="仿宋"/>
                <w:color w:val="000000"/>
                <w:kern w:val="0"/>
                <w:lang w:bidi="ar"/>
              </w:rPr>
              <w:t>数控车削加工工艺与编程</w:t>
            </w:r>
          </w:p>
        </w:tc>
        <w:tc>
          <w:tcPr>
            <w:tcW w:w="3118"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仿宋"/>
                <w:color w:val="000000"/>
                <w:kern w:val="0"/>
                <w:lang w:bidi="ar"/>
              </w:rPr>
            </w:pPr>
            <w:r>
              <w:rPr>
                <w:rFonts w:hint="eastAsia" w:ascii="仿宋" w:hAnsi="仿宋" w:eastAsia="仿宋" w:cs="仿宋"/>
                <w:color w:val="000000"/>
                <w:kern w:val="0"/>
                <w:lang w:bidi="ar"/>
              </w:rPr>
              <w:t>使学生掌握正确分析产品数控加工工艺,合理使用切削刀具,合理编数控程序,最终加工出合格的中等复杂程度零件的技能;使学生成为具有数控车工中级工水平的技能型人才;使学生能对数控车床和工、夹、量、刃具进行合理使用与维护,养成良好的安全生产与文明生产习惯</w:t>
            </w:r>
          </w:p>
        </w:tc>
        <w:tc>
          <w:tcPr>
            <w:tcW w:w="4099"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480"/>
              <w:rPr>
                <w:rFonts w:ascii="仿宋" w:hAnsi="仿宋" w:eastAsia="仿宋" w:cs="仿宋"/>
                <w:color w:val="000000"/>
                <w:kern w:val="0"/>
                <w:lang w:bidi="ar"/>
              </w:rPr>
            </w:pPr>
            <w:r>
              <w:rPr>
                <w:rFonts w:hint="eastAsia" w:ascii="仿宋" w:hAnsi="仿宋" w:eastAsia="仿宋"/>
              </w:rPr>
              <w:t>了解数控车床编程的基本知识，数控加工的工艺分析与处理、各种常用编程指令与操作规程。掌握数控车削编程及加工，数控铣床编程及加工和网络数控等知识，掌握典型数控系统的操作，具有手工编写中等复杂程度零件的工艺设计、程序编制、刀具选择、对刀、试切调整、参数设置、运行报警识别处理等操作。</w:t>
            </w:r>
          </w:p>
        </w:tc>
        <w:tc>
          <w:tcPr>
            <w:tcW w:w="58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theme="minorBidi"/>
              </w:rPr>
            </w:pPr>
            <w:r>
              <w:rPr>
                <w:rFonts w:ascii="仿宋" w:hAnsi="仿宋" w:eastAsia="仿宋" w:cs="仿宋"/>
                <w:color w:val="000000"/>
                <w:kern w:val="0"/>
                <w:lang w:bidi="ar"/>
              </w:rPr>
              <w:t>144</w:t>
            </w:r>
          </w:p>
        </w:tc>
      </w:tr>
      <w:tr>
        <w:tblPrEx>
          <w:tblCellMar>
            <w:top w:w="0" w:type="dxa"/>
            <w:left w:w="28" w:type="dxa"/>
            <w:bottom w:w="0" w:type="dxa"/>
            <w:right w:w="28" w:type="dxa"/>
          </w:tblCellMar>
        </w:tblPrEx>
        <w:trPr>
          <w:trHeight w:val="630"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ascii="仿宋" w:hAnsi="仿宋" w:eastAsia="仿宋"/>
              </w:rPr>
              <w:t>6</w:t>
            </w:r>
          </w:p>
        </w:tc>
        <w:tc>
          <w:tcPr>
            <w:tcW w:w="1134"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宋体"/>
                <w:kern w:val="0"/>
              </w:rPr>
            </w:pPr>
            <w:r>
              <w:rPr>
                <w:rFonts w:hint="eastAsia" w:ascii="仿宋" w:hAnsi="仿宋" w:eastAsia="仿宋" w:cs="仿宋"/>
                <w:color w:val="000000"/>
                <w:kern w:val="0"/>
                <w:lang w:bidi="ar"/>
              </w:rPr>
              <w:t>数控铣削加工工艺与编程</w:t>
            </w:r>
          </w:p>
        </w:tc>
        <w:tc>
          <w:tcPr>
            <w:tcW w:w="3118"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theme="minorBidi"/>
              </w:rPr>
            </w:pPr>
            <w:r>
              <w:rPr>
                <w:rFonts w:hint="eastAsia" w:ascii="仿宋" w:hAnsi="仿宋" w:eastAsia="仿宋" w:cstheme="minorBidi"/>
              </w:rPr>
              <w:t>使学生掌握数控机床的操作、加工工艺和加工程序的编制、刀具和工装的使用等基本常识；熟悉常用G代码及其格式，特殊编程指令的编程方法以及加工工艺循环等。掌握常用数控切削加工的一般操作技能，达到中级级工操作水平。</w:t>
            </w:r>
          </w:p>
          <w:p>
            <w:pPr>
              <w:spacing w:beforeLines="0" w:after="0" w:afterAutospacing="0" w:line="240" w:lineRule="auto"/>
              <w:ind w:firstLine="0" w:firstLineChars="0"/>
              <w:rPr>
                <w:rFonts w:ascii="仿宋" w:hAnsi="仿宋" w:eastAsia="仿宋" w:cstheme="minorBidi"/>
              </w:rPr>
            </w:pPr>
          </w:p>
        </w:tc>
        <w:tc>
          <w:tcPr>
            <w:tcW w:w="4099"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theme="minorBidi"/>
              </w:rPr>
            </w:pPr>
            <w:r>
              <w:rPr>
                <w:rFonts w:hint="eastAsia" w:ascii="仿宋" w:hAnsi="仿宋" w:eastAsia="仿宋" w:cstheme="minorBidi"/>
              </w:rPr>
              <w:t>1.理解数控铣床的基本工作原理和组成；了解数控铣床的主要机械结构；掌握正确操作数控铣床的方法。</w:t>
            </w:r>
          </w:p>
          <w:p>
            <w:pPr>
              <w:spacing w:beforeLines="0" w:after="0" w:afterAutospacing="0" w:line="240" w:lineRule="auto"/>
              <w:ind w:firstLine="0" w:firstLineChars="0"/>
              <w:rPr>
                <w:rFonts w:ascii="仿宋" w:hAnsi="仿宋" w:eastAsia="仿宋" w:cstheme="minorBidi"/>
              </w:rPr>
            </w:pPr>
            <w:r>
              <w:rPr>
                <w:rFonts w:hint="eastAsia" w:ascii="仿宋" w:hAnsi="仿宋" w:eastAsia="仿宋" w:cstheme="minorBidi"/>
              </w:rPr>
              <w:t>2.制订数控铣削加工工艺</w:t>
            </w:r>
          </w:p>
          <w:p>
            <w:pPr>
              <w:spacing w:beforeLines="0" w:after="0" w:afterAutospacing="0" w:line="240" w:lineRule="auto"/>
              <w:ind w:firstLine="0" w:firstLineChars="0"/>
              <w:rPr>
                <w:rFonts w:ascii="仿宋" w:hAnsi="仿宋" w:eastAsia="仿宋" w:cstheme="minorBidi"/>
              </w:rPr>
            </w:pPr>
            <w:r>
              <w:rPr>
                <w:rFonts w:hint="eastAsia" w:ascii="仿宋" w:hAnsi="仿宋" w:eastAsia="仿宋" w:cstheme="minorBidi"/>
              </w:rPr>
              <w:t>3.编制简单零件数控铣加工程序。</w:t>
            </w:r>
          </w:p>
          <w:p>
            <w:pPr>
              <w:spacing w:beforeLines="0" w:after="0" w:afterAutospacing="0" w:line="240" w:lineRule="auto"/>
              <w:ind w:firstLine="0" w:firstLineChars="0"/>
              <w:rPr>
                <w:rFonts w:ascii="仿宋" w:hAnsi="仿宋" w:eastAsia="仿宋" w:cstheme="minorBidi"/>
              </w:rPr>
            </w:pPr>
            <w:r>
              <w:rPr>
                <w:rFonts w:hint="eastAsia" w:ascii="仿宋" w:hAnsi="仿宋" w:eastAsia="仿宋" w:cstheme="minorBidi"/>
              </w:rPr>
              <w:t>4.掌握数控铣削加工程序的调试方法及加工参数设置的基本原则。</w:t>
            </w:r>
          </w:p>
        </w:tc>
        <w:tc>
          <w:tcPr>
            <w:tcW w:w="58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rPr>
            </w:pPr>
            <w:r>
              <w:rPr>
                <w:rFonts w:hint="eastAsia" w:ascii="仿宋" w:hAnsi="仿宋" w:eastAsia="仿宋" w:cs="仿宋"/>
                <w:color w:val="000000"/>
                <w:kern w:val="0"/>
                <w:lang w:bidi="ar"/>
              </w:rPr>
              <w:t>144</w:t>
            </w:r>
          </w:p>
        </w:tc>
      </w:tr>
      <w:tr>
        <w:tblPrEx>
          <w:tblCellMar>
            <w:top w:w="0" w:type="dxa"/>
            <w:left w:w="28" w:type="dxa"/>
            <w:bottom w:w="0" w:type="dxa"/>
            <w:right w:w="28" w:type="dxa"/>
          </w:tblCellMar>
        </w:tblPrEx>
        <w:trPr>
          <w:trHeight w:val="630" w:hRule="atLeast"/>
          <w:jc w:val="center"/>
        </w:trPr>
        <w:tc>
          <w:tcPr>
            <w:tcW w:w="9197" w:type="dxa"/>
            <w:gridSpan w:val="4"/>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480"/>
              <w:jc w:val="center"/>
              <w:rPr>
                <w:rFonts w:ascii="仿宋" w:hAnsi="仿宋" w:eastAsia="仿宋"/>
              </w:rPr>
            </w:pPr>
            <w:r>
              <w:rPr>
                <w:rFonts w:hint="eastAsia" w:ascii="仿宋" w:hAnsi="仿宋" w:eastAsia="仿宋"/>
              </w:rPr>
              <w:t>合计</w:t>
            </w:r>
          </w:p>
        </w:tc>
        <w:tc>
          <w:tcPr>
            <w:tcW w:w="58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仿宋"/>
                <w:color w:val="000000"/>
                <w:kern w:val="0"/>
                <w:lang w:bidi="ar"/>
              </w:rPr>
            </w:pPr>
            <w:r>
              <w:rPr>
                <w:rFonts w:ascii="仿宋" w:hAnsi="仿宋" w:eastAsia="仿宋" w:cs="仿宋"/>
                <w:color w:val="000000"/>
                <w:kern w:val="0"/>
                <w:lang w:bidi="ar"/>
              </w:rPr>
              <w:t>612</w:t>
            </w:r>
          </w:p>
        </w:tc>
      </w:tr>
    </w:tbl>
    <w:p>
      <w:pPr>
        <w:pStyle w:val="3"/>
        <w:spacing w:before="326" w:after="163" w:line="240" w:lineRule="auto"/>
        <w:ind w:firstLine="482"/>
      </w:pPr>
      <w:bookmarkStart w:id="35" w:name="_Toc135351544"/>
      <w:r>
        <w:rPr>
          <w:rFonts w:hint="eastAsia"/>
        </w:rPr>
        <w:t>（三）专业技能课</w:t>
      </w:r>
      <w:bookmarkEnd w:id="35"/>
    </w:p>
    <w:p>
      <w:pPr>
        <w:adjustRightInd w:val="0"/>
        <w:snapToGrid w:val="0"/>
        <w:spacing w:beforeLines="0" w:after="0" w:afterAutospacing="0" w:line="240" w:lineRule="auto"/>
        <w:ind w:firstLine="480"/>
        <w:jc w:val="center"/>
        <w:rPr>
          <w:rFonts w:ascii="仿宋" w:hAnsi="仿宋" w:eastAsia="仿宋" w:cs="宋体"/>
          <w:kern w:val="0"/>
        </w:rPr>
      </w:pPr>
      <w:r>
        <w:rPr>
          <w:rFonts w:hint="eastAsia" w:ascii="仿宋" w:hAnsi="仿宋" w:eastAsia="仿宋"/>
          <w:color w:val="000000"/>
        </w:rPr>
        <w:t>表</w:t>
      </w:r>
      <w:r>
        <w:rPr>
          <w:rFonts w:ascii="仿宋" w:hAnsi="仿宋" w:eastAsia="仿宋"/>
          <w:color w:val="000000"/>
        </w:rPr>
        <w:t>4</w:t>
      </w:r>
      <w:r>
        <w:rPr>
          <w:rFonts w:hint="eastAsia" w:ascii="仿宋" w:hAnsi="仿宋" w:eastAsia="仿宋"/>
          <w:color w:val="000000"/>
        </w:rPr>
        <w:t>：专业技能课开设情况一览表</w:t>
      </w:r>
    </w:p>
    <w:tbl>
      <w:tblPr>
        <w:tblStyle w:val="12"/>
        <w:tblW w:w="9776" w:type="dxa"/>
        <w:jc w:val="center"/>
        <w:tblLayout w:type="fixed"/>
        <w:tblCellMar>
          <w:top w:w="0" w:type="dxa"/>
          <w:left w:w="28" w:type="dxa"/>
          <w:bottom w:w="0" w:type="dxa"/>
          <w:right w:w="28" w:type="dxa"/>
        </w:tblCellMar>
      </w:tblPr>
      <w:tblGrid>
        <w:gridCol w:w="704"/>
        <w:gridCol w:w="1134"/>
        <w:gridCol w:w="3260"/>
        <w:gridCol w:w="3969"/>
        <w:gridCol w:w="709"/>
      </w:tblGrid>
      <w:tr>
        <w:tblPrEx>
          <w:tblCellMar>
            <w:top w:w="0" w:type="dxa"/>
            <w:left w:w="28" w:type="dxa"/>
            <w:bottom w:w="0" w:type="dxa"/>
            <w:right w:w="28" w:type="dxa"/>
          </w:tblCellMar>
        </w:tblPrEx>
        <w:trPr>
          <w:trHeight w:val="454"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cstheme="minorBidi"/>
                <w:b/>
              </w:rPr>
            </w:pPr>
            <w:bookmarkStart w:id="36" w:name="_Hlk135346880"/>
            <w:r>
              <w:rPr>
                <w:rFonts w:hint="eastAsia" w:ascii="仿宋" w:hAnsi="仿宋" w:eastAsia="仿宋"/>
                <w:b/>
              </w:rPr>
              <w:t>序号</w:t>
            </w:r>
          </w:p>
        </w:tc>
        <w:tc>
          <w:tcPr>
            <w:tcW w:w="1134"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b/>
              </w:rPr>
            </w:pPr>
            <w:r>
              <w:rPr>
                <w:rFonts w:hint="eastAsia" w:ascii="仿宋" w:hAnsi="仿宋" w:eastAsia="仿宋"/>
                <w:b/>
              </w:rPr>
              <w:t>课程名称</w:t>
            </w:r>
          </w:p>
        </w:tc>
        <w:tc>
          <w:tcPr>
            <w:tcW w:w="3260"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b/>
              </w:rPr>
            </w:pPr>
            <w:r>
              <w:rPr>
                <w:rFonts w:hint="eastAsia" w:ascii="仿宋" w:hAnsi="仿宋" w:eastAsia="仿宋"/>
                <w:b/>
              </w:rPr>
              <w:t>课程目标</w:t>
            </w:r>
          </w:p>
        </w:tc>
        <w:tc>
          <w:tcPr>
            <w:tcW w:w="3969"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b/>
              </w:rPr>
            </w:pPr>
            <w:r>
              <w:rPr>
                <w:rFonts w:hint="eastAsia" w:ascii="仿宋" w:hAnsi="仿宋" w:eastAsia="仿宋"/>
                <w:b/>
              </w:rPr>
              <w:t>主要教学内容和要求</w:t>
            </w:r>
          </w:p>
        </w:tc>
        <w:tc>
          <w:tcPr>
            <w:tcW w:w="709"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参考</w:t>
            </w:r>
          </w:p>
          <w:p>
            <w:pPr>
              <w:spacing w:beforeLines="0" w:after="0" w:afterAutospacing="0" w:line="240" w:lineRule="auto"/>
              <w:ind w:firstLine="0" w:firstLineChars="0"/>
              <w:jc w:val="center"/>
              <w:rPr>
                <w:rFonts w:ascii="仿宋" w:hAnsi="仿宋" w:eastAsia="仿宋"/>
                <w:b/>
              </w:rPr>
            </w:pPr>
            <w:r>
              <w:rPr>
                <w:rFonts w:hint="eastAsia" w:ascii="仿宋_GB2312" w:hAnsi="宋体" w:eastAsia="仿宋_GB2312"/>
                <w:b/>
                <w:color w:val="000000"/>
              </w:rPr>
              <w:t>学时</w:t>
            </w:r>
          </w:p>
        </w:tc>
      </w:tr>
      <w:tr>
        <w:tblPrEx>
          <w:tblCellMar>
            <w:top w:w="0" w:type="dxa"/>
            <w:left w:w="28" w:type="dxa"/>
            <w:bottom w:w="0" w:type="dxa"/>
            <w:right w:w="28" w:type="dxa"/>
          </w:tblCellMar>
        </w:tblPrEx>
        <w:trPr>
          <w:trHeight w:val="454"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1</w:t>
            </w:r>
          </w:p>
        </w:tc>
        <w:tc>
          <w:tcPr>
            <w:tcW w:w="1134"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钳工工艺</w:t>
            </w:r>
          </w:p>
        </w:tc>
        <w:tc>
          <w:tcPr>
            <w:tcW w:w="3260" w:type="dxa"/>
            <w:tcBorders>
              <w:top w:val="single" w:color="000000" w:sz="4" w:space="0"/>
              <w:left w:val="nil"/>
              <w:bottom w:val="single" w:color="000000" w:sz="4" w:space="0"/>
              <w:right w:val="single" w:color="000000" w:sz="4" w:space="0"/>
            </w:tcBorders>
            <w:vAlign w:val="center"/>
          </w:tcPr>
          <w:p>
            <w:pPr>
              <w:widowControl/>
              <w:spacing w:beforeLines="0" w:after="0" w:afterAutospacing="0" w:line="240" w:lineRule="auto"/>
              <w:ind w:firstLine="0" w:firstLineChars="0"/>
              <w:rPr>
                <w:rFonts w:ascii="仿宋" w:hAnsi="仿宋" w:eastAsia="仿宋" w:cs="宋体"/>
              </w:rPr>
            </w:pPr>
            <w:r>
              <w:rPr>
                <w:rFonts w:hint="eastAsia" w:ascii="仿宋" w:hAnsi="仿宋" w:eastAsia="仿宋"/>
              </w:rPr>
              <w:t>使学生掌握钳工所需要的基础理论知识，具有分析和解决工艺问题的能力。具备零件加工技术综合运用的能力，能正确选择加工和检测方法。掌握零件加工、机器装配与调试及精度检验的工艺要点，并能熟练地进行有关工艺计算。对本专业的发展有一定的了解，并能在实践中进行创新。</w:t>
            </w:r>
          </w:p>
        </w:tc>
        <w:tc>
          <w:tcPr>
            <w:tcW w:w="3969" w:type="dxa"/>
            <w:tcBorders>
              <w:top w:val="single" w:color="000000" w:sz="4" w:space="0"/>
              <w:left w:val="nil"/>
              <w:bottom w:val="single" w:color="000000" w:sz="4" w:space="0"/>
              <w:right w:val="single" w:color="000000" w:sz="4" w:space="0"/>
            </w:tcBorders>
            <w:vAlign w:val="center"/>
          </w:tcPr>
          <w:p>
            <w:pPr>
              <w:widowControl/>
              <w:spacing w:beforeLines="0" w:after="0" w:afterAutospacing="0" w:line="240" w:lineRule="auto"/>
              <w:ind w:firstLine="480"/>
              <w:rPr>
                <w:rFonts w:ascii="仿宋" w:hAnsi="仿宋" w:eastAsia="仿宋" w:cs="宋体"/>
              </w:rPr>
            </w:pPr>
            <w:r>
              <w:rPr>
                <w:rFonts w:hint="eastAsia" w:ascii="仿宋" w:hAnsi="仿宋" w:eastAsia="仿宋" w:cs="Tahoma"/>
              </w:rPr>
              <w:t>掌握钳工应具备的专业理论知识与操作技能。熟悉钳工常用设备的结构并掌握设备的操作技能。掌握中级钳工常用量具、精密量具和量仪的结构原理，掌握用其进行测量的技能。理解金属切削过程中的物理现象，掌握钳工常用刀具材料、刀具几何形状、切削角度对切削性能的影响及正确刃磨刀具。掌握钳工基本技能知识和基本操作技能，掌握中等复杂工件(工具)制作技能。掌握部件、机构及整台设备的装配工艺知识与装配操作技能。能熟练地进行钳工的有关计算，会查阅有关技术手册和标准。</w:t>
            </w:r>
          </w:p>
        </w:tc>
        <w:tc>
          <w:tcPr>
            <w:tcW w:w="709" w:type="dxa"/>
            <w:tcBorders>
              <w:top w:val="single" w:color="000000" w:sz="4" w:space="0"/>
              <w:left w:val="nil"/>
              <w:bottom w:val="single" w:color="000000"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theme="minorBidi"/>
              </w:rPr>
            </w:pPr>
            <w:r>
              <w:rPr>
                <w:rFonts w:ascii="仿宋" w:hAnsi="仿宋" w:eastAsia="仿宋" w:cs="仿宋"/>
                <w:color w:val="000000"/>
                <w:kern w:val="0"/>
                <w:lang w:bidi="ar"/>
              </w:rPr>
              <w:t>144</w:t>
            </w:r>
          </w:p>
        </w:tc>
      </w:tr>
      <w:tr>
        <w:tblPrEx>
          <w:tblCellMar>
            <w:top w:w="0" w:type="dxa"/>
            <w:left w:w="28" w:type="dxa"/>
            <w:bottom w:w="0" w:type="dxa"/>
            <w:right w:w="28" w:type="dxa"/>
          </w:tblCellMar>
        </w:tblPrEx>
        <w:trPr>
          <w:trHeight w:val="454"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2</w:t>
            </w:r>
          </w:p>
        </w:tc>
        <w:tc>
          <w:tcPr>
            <w:tcW w:w="1134"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cs="仿宋"/>
                <w:color w:val="000000"/>
                <w:kern w:val="0"/>
                <w:lang w:bidi="ar"/>
              </w:rPr>
            </w:pPr>
            <w:r>
              <w:rPr>
                <w:rFonts w:hint="eastAsia" w:ascii="仿宋" w:hAnsi="仿宋" w:eastAsia="仿宋"/>
              </w:rPr>
              <w:t>车工工艺</w:t>
            </w:r>
          </w:p>
        </w:tc>
        <w:tc>
          <w:tcPr>
            <w:tcW w:w="3260" w:type="dxa"/>
            <w:tcBorders>
              <w:top w:val="single" w:color="000000" w:sz="4" w:space="0"/>
              <w:left w:val="nil"/>
              <w:bottom w:val="single" w:color="000000" w:sz="4" w:space="0"/>
              <w:right w:val="single" w:color="000000" w:sz="4" w:space="0"/>
            </w:tcBorders>
            <w:vAlign w:val="center"/>
          </w:tcPr>
          <w:p>
            <w:pPr>
              <w:widowControl/>
              <w:spacing w:beforeLines="0" w:after="0" w:afterAutospacing="0" w:line="240" w:lineRule="auto"/>
              <w:ind w:firstLine="0" w:firstLineChars="0"/>
              <w:rPr>
                <w:rFonts w:ascii="仿宋" w:hAnsi="仿宋" w:eastAsia="仿宋" w:cs="宋体"/>
              </w:rPr>
            </w:pPr>
            <w:r>
              <w:rPr>
                <w:rFonts w:hint="eastAsia" w:ascii="仿宋" w:hAnsi="仿宋" w:eastAsia="仿宋" w:cs="Tahoma"/>
              </w:rPr>
              <w:t>使学生具有扎实的车工工艺理论及实际操作知识，熟悉最新国家标准，能够熟练选择和使用测量器具，具有对典型零件实施工艺编制、实际加工的能力，掌握车工加工的基本操作方法，养成“一丝不苟、精益求精”的职业素养，使学生获得机械加工从业人员必须具备的理论和操作技能。</w:t>
            </w:r>
          </w:p>
        </w:tc>
        <w:tc>
          <w:tcPr>
            <w:tcW w:w="3969" w:type="dxa"/>
            <w:tcBorders>
              <w:top w:val="single" w:color="000000" w:sz="4" w:space="0"/>
              <w:left w:val="nil"/>
              <w:bottom w:val="single" w:color="000000" w:sz="4" w:space="0"/>
              <w:right w:val="single" w:color="000000" w:sz="4" w:space="0"/>
            </w:tcBorders>
            <w:vAlign w:val="center"/>
          </w:tcPr>
          <w:p>
            <w:pPr>
              <w:widowControl/>
              <w:spacing w:beforeLines="0" w:after="0" w:afterAutospacing="0" w:line="240" w:lineRule="auto"/>
              <w:ind w:firstLine="480"/>
              <w:rPr>
                <w:rFonts w:ascii="仿宋" w:hAnsi="仿宋" w:eastAsia="仿宋" w:cs="宋体"/>
              </w:rPr>
            </w:pPr>
            <w:r>
              <w:rPr>
                <w:rFonts w:hint="eastAsia" w:ascii="仿宋" w:hAnsi="仿宋" w:eastAsia="仿宋" w:cs="Tahoma"/>
              </w:rPr>
              <w:t>能够进行零件的车削工艺制订；  能够根据车削工艺合理的选用刀具；  掌握车工常用量具的使用和维护保养方法；合理地选择工件的定位基准和常用车床夹具使用方法；了解本专业的新工艺、新技术及提高质量和劳动生产率的方法；会分析废品产生的原因，并提出预防方法；能查阅有关的技术手册。</w:t>
            </w:r>
          </w:p>
        </w:tc>
        <w:tc>
          <w:tcPr>
            <w:tcW w:w="709" w:type="dxa"/>
            <w:tcBorders>
              <w:top w:val="single" w:color="000000" w:sz="4" w:space="0"/>
              <w:left w:val="nil"/>
              <w:bottom w:val="single" w:color="000000"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仿宋"/>
                <w:color w:val="000000"/>
                <w:kern w:val="0"/>
                <w:lang w:bidi="ar"/>
              </w:rPr>
            </w:pPr>
            <w:r>
              <w:rPr>
                <w:rFonts w:ascii="仿宋" w:hAnsi="仿宋" w:eastAsia="仿宋" w:cs="仿宋"/>
                <w:color w:val="000000"/>
                <w:kern w:val="0"/>
                <w:lang w:bidi="ar"/>
              </w:rPr>
              <w:t>144</w:t>
            </w:r>
          </w:p>
        </w:tc>
      </w:tr>
      <w:tr>
        <w:tblPrEx>
          <w:tblCellMar>
            <w:top w:w="0" w:type="dxa"/>
            <w:left w:w="28" w:type="dxa"/>
            <w:bottom w:w="0" w:type="dxa"/>
            <w:right w:w="28" w:type="dxa"/>
          </w:tblCellMar>
        </w:tblPrEx>
        <w:trPr>
          <w:trHeight w:val="1080" w:hRule="atLeast"/>
          <w:jc w:val="center"/>
        </w:trPr>
        <w:tc>
          <w:tcPr>
            <w:tcW w:w="704"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3</w:t>
            </w:r>
          </w:p>
        </w:tc>
        <w:tc>
          <w:tcPr>
            <w:tcW w:w="1134"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宋体"/>
              </w:rPr>
            </w:pPr>
            <w:r>
              <w:rPr>
                <w:rFonts w:hint="eastAsia" w:ascii="仿宋" w:hAnsi="仿宋" w:eastAsia="仿宋" w:cs="仿宋"/>
                <w:color w:val="000000"/>
                <w:kern w:val="0"/>
                <w:lang w:bidi="ar"/>
              </w:rPr>
              <w:t>数控车削技术训练</w:t>
            </w:r>
          </w:p>
        </w:tc>
        <w:tc>
          <w:tcPr>
            <w:tcW w:w="3260"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480"/>
              <w:rPr>
                <w:rFonts w:ascii="仿宋" w:hAnsi="仿宋" w:eastAsia="仿宋" w:cs="Tahoma"/>
              </w:rPr>
            </w:pPr>
            <w:r>
              <w:rPr>
                <w:rFonts w:hint="eastAsia" w:ascii="仿宋" w:hAnsi="仿宋" w:eastAsia="仿宋" w:cs="Tahoma"/>
              </w:rPr>
              <w:t>使学生应能根据要求正确选择毛坯和刀具及装夹方法，通过对零件的结构工艺性分析，确定零件加工方法并制定零件的加工工艺，独立完成中等复杂程度零件的数控加工，</w:t>
            </w:r>
          </w:p>
          <w:p>
            <w:pPr>
              <w:snapToGrid w:val="0"/>
              <w:spacing w:beforeLines="0" w:after="0" w:afterAutospacing="0" w:line="240" w:lineRule="auto"/>
              <w:ind w:firstLine="0" w:firstLineChars="0"/>
              <w:rPr>
                <w:rFonts w:ascii="仿宋" w:hAnsi="仿宋" w:eastAsia="仿宋" w:cstheme="minorBidi"/>
              </w:rPr>
            </w:pPr>
          </w:p>
        </w:tc>
        <w:tc>
          <w:tcPr>
            <w:tcW w:w="3969" w:type="dxa"/>
            <w:tcBorders>
              <w:top w:val="single" w:color="auto" w:sz="4" w:space="0"/>
              <w:left w:val="nil"/>
              <w:bottom w:val="single" w:color="auto" w:sz="4" w:space="0"/>
              <w:right w:val="single" w:color="000000" w:sz="4" w:space="0"/>
            </w:tcBorders>
            <w:vAlign w:val="center"/>
          </w:tcPr>
          <w:p>
            <w:pPr>
              <w:snapToGrid w:val="0"/>
              <w:spacing w:beforeLines="0" w:after="0" w:afterAutospacing="0" w:line="240" w:lineRule="auto"/>
              <w:ind w:firstLine="480"/>
              <w:rPr>
                <w:rFonts w:ascii="仿宋" w:hAnsi="仿宋" w:eastAsia="仿宋" w:cstheme="minorBidi"/>
              </w:rPr>
            </w:pPr>
            <w:r>
              <w:rPr>
                <w:rFonts w:hint="eastAsia" w:ascii="仿宋" w:hAnsi="仿宋" w:eastAsia="仿宋" w:cs="Tahoma"/>
              </w:rPr>
              <w:t>熟悉数控机床的操作规程，会数控机床的组成与操作方法。会程序编制的基本编程指令含义及功用。会数控机床操作面板的各功能键功能及使用。会数控车床刀具和夹具的选用。会切削用量的选择。会中等复杂零件加工工艺的制定。会中等复杂零件程序的编制。会数控机床对刀及零件加工精度的控制方法。会按照零件图纸要求对加工零件进行检验，并进行质量分析。</w:t>
            </w:r>
          </w:p>
        </w:tc>
        <w:tc>
          <w:tcPr>
            <w:tcW w:w="70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rPr>
            </w:pPr>
            <w:r>
              <w:rPr>
                <w:rFonts w:ascii="仿宋" w:hAnsi="仿宋" w:eastAsia="仿宋" w:cs="仿宋"/>
                <w:color w:val="000000"/>
                <w:kern w:val="0"/>
                <w:lang w:bidi="ar"/>
              </w:rPr>
              <w:t>144</w:t>
            </w:r>
          </w:p>
        </w:tc>
      </w:tr>
      <w:tr>
        <w:tblPrEx>
          <w:tblCellMar>
            <w:top w:w="0" w:type="dxa"/>
            <w:left w:w="28" w:type="dxa"/>
            <w:bottom w:w="0" w:type="dxa"/>
            <w:right w:w="28" w:type="dxa"/>
          </w:tblCellMar>
        </w:tblPrEx>
        <w:trPr>
          <w:trHeight w:val="360" w:hRule="atLeast"/>
          <w:jc w:val="center"/>
        </w:trPr>
        <w:tc>
          <w:tcPr>
            <w:tcW w:w="704"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4</w:t>
            </w:r>
          </w:p>
        </w:tc>
        <w:tc>
          <w:tcPr>
            <w:tcW w:w="1134"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cs="仿宋"/>
                <w:color w:val="000000"/>
                <w:kern w:val="0"/>
                <w:lang w:bidi="ar"/>
              </w:rPr>
              <w:t>数控铣削技术训练</w:t>
            </w:r>
          </w:p>
        </w:tc>
        <w:tc>
          <w:tcPr>
            <w:tcW w:w="3260"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rPr>
            </w:pPr>
            <w:r>
              <w:rPr>
                <w:rFonts w:hint="eastAsia" w:ascii="仿宋" w:hAnsi="仿宋" w:eastAsia="仿宋" w:cstheme="minorBidi"/>
              </w:rPr>
              <w:t>使学生掌握数控铣削（加工中心）加工技术的基本知识和运用能力；了解数控行业的现状及广阔的前景；培养学生分析问题和解决问题的能力，使其形成良好的学习习惯，具备继续钻研专业技术的能力；对学生进行职业意识培养和职业道德教育，使其形成严谨、敬业的工作作风</w:t>
            </w:r>
          </w:p>
        </w:tc>
        <w:tc>
          <w:tcPr>
            <w:tcW w:w="3969"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480"/>
              <w:rPr>
                <w:rFonts w:ascii="仿宋" w:hAnsi="仿宋" w:eastAsia="仿宋"/>
              </w:rPr>
            </w:pPr>
            <w:r>
              <w:rPr>
                <w:rFonts w:hint="eastAsia" w:ascii="仿宋" w:hAnsi="仿宋" w:eastAsia="仿宋"/>
              </w:rPr>
              <w:t>通过典型铣削加工项目的学习，掌握铣削零件的加工工艺以及铣削加工刀具、铣削加工参数的正确选择；学会连接面、沟槽、台阶、孔、等分面的加工与尺寸精度、表面粗糙度的检测，能正确使用铣削常用工量具及辅具，使学生初步具备实际工作过程的专业技能和职业素养。</w:t>
            </w:r>
          </w:p>
        </w:tc>
        <w:tc>
          <w:tcPr>
            <w:tcW w:w="70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rPr>
            </w:pPr>
            <w:r>
              <w:rPr>
                <w:rFonts w:hint="eastAsia" w:ascii="仿宋" w:hAnsi="仿宋" w:eastAsia="仿宋" w:cs="仿宋"/>
                <w:color w:val="000000"/>
                <w:kern w:val="0"/>
                <w:lang w:bidi="ar"/>
              </w:rPr>
              <w:t>144</w:t>
            </w:r>
          </w:p>
        </w:tc>
      </w:tr>
      <w:tr>
        <w:tblPrEx>
          <w:tblCellMar>
            <w:top w:w="0" w:type="dxa"/>
            <w:left w:w="28" w:type="dxa"/>
            <w:bottom w:w="0" w:type="dxa"/>
            <w:right w:w="28" w:type="dxa"/>
          </w:tblCellMar>
        </w:tblPrEx>
        <w:trPr>
          <w:trHeight w:val="1080" w:hRule="atLeast"/>
          <w:jc w:val="center"/>
        </w:trPr>
        <w:tc>
          <w:tcPr>
            <w:tcW w:w="704"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5</w:t>
            </w:r>
          </w:p>
        </w:tc>
        <w:tc>
          <w:tcPr>
            <w:tcW w:w="1134"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cs="仿宋"/>
                <w:color w:val="000000"/>
                <w:kern w:val="0"/>
                <w:lang w:bidi="ar"/>
              </w:rPr>
              <w:t>机械制造工艺基础</w:t>
            </w:r>
          </w:p>
        </w:tc>
        <w:tc>
          <w:tcPr>
            <w:tcW w:w="3260"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Tahoma"/>
              </w:rPr>
            </w:pPr>
            <w:r>
              <w:rPr>
                <w:rFonts w:hint="eastAsia" w:ascii="仿宋" w:hAnsi="仿宋" w:eastAsia="仿宋" w:cstheme="minorBidi"/>
              </w:rPr>
              <w:t>使学生能对机械制造和各种金属切削机床有一个整体认识，具备良好的专业素养，为后续的专门化学习打好专业基础，增强工作的适应性，在一专的基础上发展多能。</w:t>
            </w:r>
          </w:p>
        </w:tc>
        <w:tc>
          <w:tcPr>
            <w:tcW w:w="3969"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480"/>
              <w:rPr>
                <w:rFonts w:ascii="仿宋" w:hAnsi="仿宋" w:eastAsia="仿宋" w:cs="Tahoma"/>
              </w:rPr>
            </w:pPr>
            <w:r>
              <w:rPr>
                <w:rFonts w:hint="eastAsia" w:ascii="仿宋" w:hAnsi="仿宋" w:eastAsia="仿宋"/>
              </w:rPr>
              <w:t>课程包括毛坯制造工艺（俗称热加工工艺）、零件切削加工工艺（俗称冷加工工艺）和机械加工工艺规程制订三部分。了解机械加工的工艺知识；了解机械加工设备的主要结构、性能和加工范围；掌握零件加工工艺路线制订知识；掌握金属切削加工的基本原理及一般机械加工方法。</w:t>
            </w:r>
          </w:p>
        </w:tc>
        <w:tc>
          <w:tcPr>
            <w:tcW w:w="70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theme="minorBidi"/>
              </w:rPr>
            </w:pPr>
            <w:r>
              <w:rPr>
                <w:rFonts w:hint="eastAsia" w:ascii="仿宋" w:hAnsi="仿宋" w:eastAsia="仿宋" w:cs="仿宋"/>
                <w:color w:val="000000"/>
                <w:kern w:val="0"/>
                <w:lang w:bidi="ar"/>
              </w:rPr>
              <w:t>72</w:t>
            </w:r>
          </w:p>
        </w:tc>
      </w:tr>
      <w:tr>
        <w:tblPrEx>
          <w:tblCellMar>
            <w:top w:w="0" w:type="dxa"/>
            <w:left w:w="28" w:type="dxa"/>
            <w:bottom w:w="0" w:type="dxa"/>
            <w:right w:w="28" w:type="dxa"/>
          </w:tblCellMar>
        </w:tblPrEx>
        <w:trPr>
          <w:trHeight w:val="1080" w:hRule="atLeast"/>
          <w:jc w:val="center"/>
        </w:trPr>
        <w:tc>
          <w:tcPr>
            <w:tcW w:w="704"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199" w:firstLineChars="83"/>
              <w:jc w:val="center"/>
              <w:rPr>
                <w:rFonts w:ascii="仿宋" w:hAnsi="仿宋" w:eastAsia="仿宋"/>
              </w:rPr>
            </w:pPr>
            <w:r>
              <w:rPr>
                <w:rFonts w:hint="eastAsia" w:ascii="仿宋" w:hAnsi="仿宋" w:eastAsia="仿宋"/>
              </w:rPr>
              <w:t>6</w:t>
            </w:r>
          </w:p>
        </w:tc>
        <w:tc>
          <w:tcPr>
            <w:tcW w:w="1134"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rPr>
            </w:pPr>
            <w:r>
              <w:rPr>
                <w:rFonts w:hint="eastAsia" w:ascii="仿宋" w:hAnsi="仿宋" w:eastAsia="仿宋" w:cs="仿宋"/>
                <w:color w:val="000000"/>
                <w:kern w:val="0"/>
                <w:lang w:bidi="ar"/>
              </w:rPr>
              <w:t>数控机床机械装调与维修</w:t>
            </w:r>
          </w:p>
        </w:tc>
        <w:tc>
          <w:tcPr>
            <w:tcW w:w="3260" w:type="dxa"/>
            <w:tcBorders>
              <w:top w:val="single" w:color="auto" w:sz="4" w:space="0"/>
              <w:left w:val="nil"/>
              <w:bottom w:val="single" w:color="auto" w:sz="4" w:space="0"/>
              <w:right w:val="single" w:color="000000" w:sz="4" w:space="0"/>
            </w:tcBorders>
          </w:tcPr>
          <w:p>
            <w:pPr>
              <w:spacing w:beforeLines="0" w:after="0" w:afterAutospacing="0" w:line="240" w:lineRule="auto"/>
              <w:ind w:firstLine="480"/>
              <w:rPr>
                <w:rFonts w:ascii="仿宋" w:hAnsi="仿宋" w:eastAsia="仿宋" w:cs="Tahoma"/>
              </w:rPr>
            </w:pPr>
            <w:r>
              <w:rPr>
                <w:rFonts w:hint="eastAsia" w:ascii="仿宋" w:hAnsi="仿宋" w:eastAsia="仿宋" w:cs="宋体"/>
              </w:rPr>
              <w:t>使学生初步掌握数控机床的安调试和维护、维修的基本知识和方法，培养学生数控机床调试、维护与维修的职业素养和技术能力。</w:t>
            </w:r>
          </w:p>
        </w:tc>
        <w:tc>
          <w:tcPr>
            <w:tcW w:w="3969"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Tahoma"/>
              </w:rPr>
            </w:pPr>
            <w:r>
              <w:rPr>
                <w:rFonts w:hint="eastAsia" w:ascii="仿宋" w:hAnsi="仿宋" w:eastAsia="仿宋" w:cs="宋体"/>
              </w:rPr>
              <w:t>了解数控机床的结构和工作原理，学习机械装调和维护技能，掌握数控机床的故障排除和维修。使学生掌握“适度、够用”的数控维修、检测理论与方法，会检测、调试机床电气控制线路并能够准确判断并排除机床常见故障</w:t>
            </w:r>
          </w:p>
        </w:tc>
        <w:tc>
          <w:tcPr>
            <w:tcW w:w="70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theme="minorBidi"/>
              </w:rPr>
            </w:pPr>
            <w:r>
              <w:rPr>
                <w:rFonts w:hint="eastAsia" w:ascii="仿宋" w:hAnsi="仿宋" w:eastAsia="仿宋" w:cs="仿宋"/>
                <w:color w:val="000000"/>
                <w:kern w:val="0"/>
                <w:lang w:bidi="ar"/>
              </w:rPr>
              <w:t>72</w:t>
            </w:r>
          </w:p>
        </w:tc>
      </w:tr>
      <w:tr>
        <w:tblPrEx>
          <w:tblCellMar>
            <w:top w:w="0" w:type="dxa"/>
            <w:left w:w="28" w:type="dxa"/>
            <w:bottom w:w="0" w:type="dxa"/>
            <w:right w:w="28" w:type="dxa"/>
          </w:tblCellMar>
        </w:tblPrEx>
        <w:trPr>
          <w:trHeight w:val="1336" w:hRule="atLeast"/>
          <w:jc w:val="center"/>
        </w:trPr>
        <w:tc>
          <w:tcPr>
            <w:tcW w:w="704"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7</w:t>
            </w:r>
          </w:p>
        </w:tc>
        <w:tc>
          <w:tcPr>
            <w:tcW w:w="1134"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rPr>
                <w:rFonts w:ascii="仿宋" w:hAnsi="仿宋" w:eastAsia="仿宋" w:cs="宋体"/>
              </w:rPr>
            </w:pPr>
            <w:r>
              <w:rPr>
                <w:rFonts w:hint="eastAsia" w:ascii="仿宋" w:hAnsi="仿宋" w:eastAsia="仿宋" w:cs="宋体"/>
              </w:rPr>
              <w:t>数控机床电气控制</w:t>
            </w:r>
          </w:p>
          <w:p>
            <w:pPr>
              <w:widowControl/>
              <w:spacing w:beforeLines="0" w:after="0" w:afterAutospacing="0" w:line="240" w:lineRule="auto"/>
              <w:ind w:firstLine="0" w:firstLineChars="0"/>
              <w:jc w:val="center"/>
              <w:textAlignment w:val="center"/>
              <w:rPr>
                <w:rFonts w:ascii="仿宋" w:hAnsi="仿宋" w:eastAsia="仿宋" w:cs="宋体"/>
              </w:rPr>
            </w:pPr>
          </w:p>
        </w:tc>
        <w:tc>
          <w:tcPr>
            <w:tcW w:w="3260" w:type="dxa"/>
            <w:tcBorders>
              <w:top w:val="single" w:color="auto" w:sz="4" w:space="0"/>
              <w:left w:val="nil"/>
              <w:bottom w:val="single" w:color="auto" w:sz="4" w:space="0"/>
              <w:right w:val="single" w:color="000000" w:sz="4" w:space="0"/>
            </w:tcBorders>
          </w:tcPr>
          <w:p>
            <w:pPr>
              <w:spacing w:beforeLines="0" w:after="0" w:afterAutospacing="0" w:line="240" w:lineRule="auto"/>
              <w:ind w:firstLine="0" w:firstLineChars="0"/>
              <w:rPr>
                <w:rFonts w:ascii="仿宋" w:hAnsi="仿宋" w:eastAsia="仿宋" w:cstheme="minorBidi"/>
              </w:rPr>
            </w:pPr>
            <w:r>
              <w:rPr>
                <w:rFonts w:hint="eastAsia" w:ascii="仿宋" w:hAnsi="仿宋" w:eastAsia="仿宋" w:cstheme="minorBidi"/>
              </w:rPr>
              <w:t>使学生熟悉数控机床控制系统的组成、各组成部分的功能及数控机床工作原理。通过对数控原理和典型数控系统的分析和介绍，使学生掌握数控装置、伺服系统、检测装置、可编程控制器在数控机床上的功能和应用，并掌握这些部件与机床本体配接的知识。</w:t>
            </w:r>
          </w:p>
        </w:tc>
        <w:tc>
          <w:tcPr>
            <w:tcW w:w="3969"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480"/>
              <w:rPr>
                <w:rFonts w:ascii="仿宋" w:hAnsi="仿宋" w:eastAsia="仿宋" w:cstheme="minorBidi"/>
              </w:rPr>
            </w:pPr>
            <w:r>
              <w:rPr>
                <w:rFonts w:hint="eastAsia" w:ascii="仿宋" w:hAnsi="仿宋" w:eastAsia="仿宋"/>
              </w:rPr>
              <w:t>了解融合机床低压电气控制、可编程控制器、数控系统原理与接口与编码器等方面的基本知识，掌握机床常用低压电器的工作原理与选用，机床电气控制系统的基本环节，典型数控机床强电控制线路的工作原理、控制特点，PLC编程控制的设计和调试方法，PLC在数控机床控制中的应用，数控系统的控制接口特性与作用和与数控系统的联接方法。能进行典型数控机床电气控制线路初步分析。</w:t>
            </w:r>
          </w:p>
        </w:tc>
        <w:tc>
          <w:tcPr>
            <w:tcW w:w="70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rPr>
            </w:pPr>
            <w:r>
              <w:rPr>
                <w:rFonts w:hint="eastAsia" w:ascii="仿宋" w:hAnsi="仿宋" w:eastAsia="仿宋" w:cs="仿宋"/>
                <w:color w:val="000000"/>
                <w:kern w:val="0"/>
                <w:lang w:bidi="ar"/>
              </w:rPr>
              <w:t>72</w:t>
            </w:r>
          </w:p>
        </w:tc>
      </w:tr>
      <w:tr>
        <w:tblPrEx>
          <w:tblCellMar>
            <w:top w:w="0" w:type="dxa"/>
            <w:left w:w="28" w:type="dxa"/>
            <w:bottom w:w="0" w:type="dxa"/>
            <w:right w:w="28" w:type="dxa"/>
          </w:tblCellMar>
        </w:tblPrEx>
        <w:trPr>
          <w:trHeight w:val="589" w:hRule="atLeast"/>
          <w:jc w:val="center"/>
        </w:trPr>
        <w:tc>
          <w:tcPr>
            <w:tcW w:w="704"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8</w:t>
            </w:r>
          </w:p>
        </w:tc>
        <w:tc>
          <w:tcPr>
            <w:tcW w:w="1134"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cs="宋体"/>
              </w:rPr>
            </w:pPr>
            <w:r>
              <w:rPr>
                <w:rFonts w:hint="eastAsia" w:ascii="仿宋" w:hAnsi="仿宋" w:eastAsia="仿宋" w:cs="宋体"/>
                <w:kern w:val="0"/>
              </w:rPr>
              <w:t>UG软件应用</w:t>
            </w:r>
          </w:p>
        </w:tc>
        <w:tc>
          <w:tcPr>
            <w:tcW w:w="3260"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theme="minorBidi"/>
              </w:rPr>
            </w:pPr>
            <w:r>
              <w:rPr>
                <w:rFonts w:hint="eastAsia" w:ascii="仿宋" w:hAnsi="仿宋" w:eastAsia="仿宋" w:cstheme="minorBidi"/>
              </w:rPr>
              <w:t>使学生基本掌握软件进行产品设计、数控加工自动编程的方法和步骤。通过本课程的学习，使学生树立正确的产品造型和数控加工思想，具备运用标准、规范、手册、图册等有关技术资料进行产品造型和数控程序编制的能力。使学生具备团队协作、求变创新、积极进取、爱岗敬业等基本职业素质。</w:t>
            </w:r>
          </w:p>
        </w:tc>
        <w:tc>
          <w:tcPr>
            <w:tcW w:w="3969"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theme="minorBidi"/>
              </w:rPr>
            </w:pPr>
            <w:r>
              <w:rPr>
                <w:rFonts w:hint="eastAsia" w:ascii="仿宋" w:hAnsi="仿宋" w:eastAsia="仿宋" w:cstheme="minorBidi"/>
              </w:rPr>
              <w:t>CAD部分掌握产品的造型、虚拟装配、工程图等功能，CAM部分掌握平面铣削、轮廓铣削、可变轴轮廓铣削等的刀具轨迹的创建方法、仿真及后置处理，了解高速加工，多轴加工的程序编制方法。能够进行数控加工的模拟仿真，生成可用的NC代码。</w:t>
            </w:r>
          </w:p>
        </w:tc>
        <w:tc>
          <w:tcPr>
            <w:tcW w:w="70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rPr>
            </w:pPr>
            <w:r>
              <w:rPr>
                <w:rFonts w:hint="eastAsia" w:ascii="仿宋" w:hAnsi="仿宋" w:eastAsia="仿宋" w:cs="仿宋"/>
                <w:color w:val="000000"/>
                <w:kern w:val="0"/>
                <w:lang w:bidi="ar"/>
              </w:rPr>
              <w:t>144</w:t>
            </w:r>
          </w:p>
        </w:tc>
      </w:tr>
      <w:tr>
        <w:tblPrEx>
          <w:tblCellMar>
            <w:top w:w="0" w:type="dxa"/>
            <w:left w:w="28" w:type="dxa"/>
            <w:bottom w:w="0" w:type="dxa"/>
            <w:right w:w="28" w:type="dxa"/>
          </w:tblCellMar>
        </w:tblPrEx>
        <w:trPr>
          <w:trHeight w:val="360" w:hRule="atLeast"/>
          <w:jc w:val="center"/>
        </w:trPr>
        <w:tc>
          <w:tcPr>
            <w:tcW w:w="9067" w:type="dxa"/>
            <w:gridSpan w:val="4"/>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480"/>
              <w:jc w:val="center"/>
              <w:rPr>
                <w:rFonts w:ascii="仿宋" w:hAnsi="仿宋" w:eastAsia="仿宋"/>
              </w:rPr>
            </w:pPr>
            <w:r>
              <w:rPr>
                <w:rFonts w:hint="eastAsia" w:ascii="仿宋" w:hAnsi="仿宋" w:eastAsia="仿宋"/>
              </w:rPr>
              <w:t>合计</w:t>
            </w:r>
          </w:p>
        </w:tc>
        <w:tc>
          <w:tcPr>
            <w:tcW w:w="70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仿宋"/>
                <w:color w:val="000000"/>
                <w:kern w:val="0"/>
                <w:lang w:bidi="ar"/>
              </w:rPr>
            </w:pPr>
            <w:r>
              <w:rPr>
                <w:rFonts w:ascii="仿宋" w:hAnsi="仿宋" w:eastAsia="仿宋" w:cs="仿宋"/>
                <w:color w:val="000000"/>
                <w:kern w:val="0"/>
                <w:lang w:bidi="ar"/>
              </w:rPr>
              <w:t>936</w:t>
            </w:r>
          </w:p>
        </w:tc>
      </w:tr>
      <w:bookmarkEnd w:id="36"/>
    </w:tbl>
    <w:p>
      <w:pPr>
        <w:pStyle w:val="3"/>
        <w:spacing w:before="326" w:after="163"/>
        <w:ind w:firstLine="482"/>
      </w:pPr>
      <w:bookmarkStart w:id="37" w:name="_Toc135351545"/>
      <w:r>
        <w:rPr>
          <w:rFonts w:hint="eastAsia"/>
        </w:rPr>
        <w:t>（四）专业选修课</w:t>
      </w:r>
      <w:bookmarkEnd w:id="37"/>
    </w:p>
    <w:p>
      <w:pPr>
        <w:spacing w:beforeLines="0" w:after="163" w:afterLines="50" w:afterAutospacing="0" w:line="240" w:lineRule="auto"/>
        <w:ind w:firstLine="0" w:firstLineChars="0"/>
        <w:jc w:val="center"/>
        <w:rPr>
          <w:b/>
          <w:bCs/>
        </w:rPr>
      </w:pPr>
      <w:r>
        <w:rPr>
          <w:rStyle w:val="16"/>
          <w:rFonts w:hint="eastAsia" w:ascii="宋体" w:hAnsi="宋体"/>
        </w:rPr>
        <w:t>表</w:t>
      </w:r>
      <w:r>
        <w:rPr>
          <w:rStyle w:val="16"/>
          <w:rFonts w:hint="eastAsia"/>
        </w:rPr>
        <w:t>5</w:t>
      </w:r>
      <w:r>
        <w:rPr>
          <w:rStyle w:val="16"/>
          <w:rFonts w:hint="eastAsia" w:ascii="宋体" w:hAnsi="宋体"/>
        </w:rPr>
        <w:t>：专业选修课开设情况一览表</w:t>
      </w:r>
    </w:p>
    <w:tbl>
      <w:tblPr>
        <w:tblStyle w:val="12"/>
        <w:tblW w:w="50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60"/>
        <w:gridCol w:w="3481"/>
        <w:gridCol w:w="3916"/>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序号</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课程名称</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课程目标</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主要教学内容和要求</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参考</w:t>
            </w:r>
          </w:p>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hAnsi="等线" w:eastAsia="仿宋_GB2312"/>
                <w:bCs/>
                <w:color w:val="000000"/>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 w:hAnsi="仿宋" w:eastAsia="仿宋" w:cs="仿宋"/>
                <w:color w:val="000000"/>
                <w:kern w:val="0"/>
                <w:lang w:bidi="ar"/>
              </w:rPr>
              <w:t>现代制造技术</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480"/>
              <w:rPr>
                <w:rFonts w:ascii="仿宋_GB2312" w:hAnsi="宋体" w:eastAsia="仿宋_GB2312"/>
              </w:rPr>
            </w:pPr>
            <w:r>
              <w:rPr>
                <w:rFonts w:hint="eastAsia" w:ascii="仿宋_GB2312" w:hAnsi="宋体" w:eastAsia="仿宋_GB2312"/>
              </w:rPr>
              <w:t>通过本课程的学习，全面提高学生的职业素质，使学生了解现代制造技术的基本概念，了解现代设计技术、现代制造工艺技术、制造自动化技术、现代制造模式以及先进管理技术等知识。</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rPr>
                <w:rFonts w:ascii="仿宋_GB2312" w:hAnsi="宋体" w:eastAsia="仿宋_GB2312"/>
                <w:color w:val="000000"/>
                <w:highlight w:val="yellow"/>
              </w:rPr>
            </w:pPr>
            <w:r>
              <w:rPr>
                <w:rFonts w:hint="eastAsia" w:ascii="仿宋_GB2312" w:hAnsi="宋体" w:eastAsia="仿宋_GB2312"/>
                <w:color w:val="000000"/>
              </w:rPr>
              <w:t>理解现代制造技术的基本理论知识，初步具备熟悉各种先进制造技术的能力。初步掌握现代设计技术的概念、分类和具体内容。了解现代制造工艺技术的概念，能理论联系实际，能通过自己的观察发现生活中有哪些情况是利用先进制造工艺技术的。了解制造自动化包括的几大部分内涵，尤其是CAD/CAM技术、数控技术、工业机器人、柔性制造技术等。能对一些先进制造模式和先进管理技术有一定的了解。</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宋体" w:eastAsia="仿宋_GB2312"/>
                <w:b/>
                <w:color w:val="000000"/>
              </w:rPr>
            </w:pPr>
            <w:r>
              <w:rPr>
                <w:rFonts w:hint="eastAsia" w:ascii="仿宋_GB2312" w:hAnsi="仿宋" w:eastAsia="仿宋_GB2312"/>
                <w:color w:val="00000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hAnsi="等线" w:eastAsia="仿宋_GB2312"/>
                <w:bCs/>
                <w:color w:val="000000"/>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 w:hAnsi="仿宋" w:eastAsia="仿宋" w:cs="仿宋"/>
                <w:color w:val="000000"/>
                <w:kern w:val="0"/>
                <w:lang w:bidi="ar"/>
              </w:rPr>
              <w:t>电工电子技术与技能</w:t>
            </w:r>
          </w:p>
        </w:tc>
        <w:tc>
          <w:tcPr>
            <w:tcW w:w="3402"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480"/>
              <w:rPr>
                <w:rFonts w:ascii="仿宋_GB2312" w:hAnsi="宋体" w:eastAsia="仿宋_GB2312"/>
              </w:rPr>
            </w:pPr>
            <w:r>
              <w:rPr>
                <w:rFonts w:hint="eastAsia" w:ascii="仿宋_GB2312" w:hAnsi="宋体" w:eastAsia="仿宋_GB2312"/>
              </w:rPr>
              <w:t>通过本课程学习，学生能熟悉电工电子的操作规程；能熟练使用电工工具和电工电子仪表；能识读基本的电气符号和简单的电路图；能正确识别和选用电工电子元件；熟悉常用低压电器的结构；掌握电路分析的方法；能识读简单的电气控制电路原理图；初步学会按照图纸要求安装照明电路并排除简单故障；熟悉三相异步电动机的基本结构、类型、工作过程及使用方法；掌握模拟电子和数字电子技术的基础等知识与技能，提高实际动手操作能力，学会解决机电系统实际问题的思路与方法，掌握机电控制系统设计、制造、调试、维护、改造的工程应用技能</w:t>
            </w:r>
          </w:p>
        </w:tc>
        <w:tc>
          <w:tcPr>
            <w:tcW w:w="3827"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rPr>
                <w:rFonts w:ascii="仿宋_GB2312" w:hAnsi="宋体" w:eastAsia="仿宋_GB2312"/>
              </w:rPr>
            </w:pPr>
            <w:r>
              <w:rPr>
                <w:rFonts w:hint="eastAsia" w:ascii="仿宋_GB2312" w:hAnsi="宋体" w:eastAsia="仿宋_GB2312"/>
              </w:rPr>
              <w:t>熟悉电工电子的操作规程；能熟练使用电工工具和电工电子仪表；会查阅电工手册及相关资料，能识读基本的电气符号和简单的电路图；能正确识别和选用电工电子元件；熟悉常用低压电器的结构、工作过程及应用场合，会根据工作场所合理选用；掌握电路分析的方法，能计算交、直流电路中的电压、电流、功率等参数；能识读简单的电气控制电路原理图；初步学会按照图纸要求安装照明电路并排除简单故障；)熟悉三相异步电动机的基本结构、类型、工作过程及使用方法，能分析三相异步电动机的控制线路，初步学会安装点动与连续运行控制线路；掌握模拟电子和数字电子技术的基础知识；能分析常见的放大电路、组合逻辑电路和时序逻辑电路；</w:t>
            </w:r>
          </w:p>
        </w:tc>
        <w:tc>
          <w:tcPr>
            <w:tcW w:w="786"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仿宋" w:eastAsia="仿宋_GB2312"/>
                <w:color w:val="000000"/>
              </w:rPr>
            </w:pPr>
            <w:r>
              <w:rPr>
                <w:rFonts w:hint="eastAsia" w:ascii="仿宋_GB2312" w:hAnsi="仿宋" w:eastAsia="仿宋_GB2312"/>
                <w:color w:val="000000"/>
              </w:rPr>
              <w:t>7</w:t>
            </w:r>
            <w:r>
              <w:rPr>
                <w:rFonts w:ascii="仿宋_GB2312" w:hAnsi="仿宋" w:eastAsia="仿宋_GB2312"/>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hAnsi="等线" w:eastAsia="仿宋_GB2312"/>
                <w:bCs/>
                <w:color w:val="000000"/>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 w:hAnsi="仿宋" w:eastAsia="仿宋" w:cs="仿宋"/>
                <w:color w:val="000000"/>
                <w:kern w:val="0"/>
                <w:lang w:bidi="ar"/>
              </w:rPr>
              <w:t>营销技术</w:t>
            </w:r>
          </w:p>
        </w:tc>
        <w:tc>
          <w:tcPr>
            <w:tcW w:w="3402"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480"/>
              <w:rPr>
                <w:rFonts w:ascii="仿宋_GB2312" w:hAnsi="宋体" w:eastAsia="仿宋_GB2312"/>
              </w:rPr>
            </w:pPr>
            <w:r>
              <w:rPr>
                <w:rFonts w:hint="eastAsia" w:ascii="仿宋_GB2312" w:hAnsi="宋体" w:eastAsia="仿宋_GB2312"/>
              </w:rPr>
              <w:t>通过本课程的学习，使学生能了解常用机电机床的基本结构特点、性能及行业价格走向，能用现代营销方法和技巧策划营销方案。通过模拟销售等方法锻炼学生语言等表达能力、沟通能力，提高学生综合素质，开拓学生的行业视野和职业嗅觉。</w:t>
            </w:r>
          </w:p>
        </w:tc>
        <w:tc>
          <w:tcPr>
            <w:tcW w:w="3827"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rPr>
                <w:rFonts w:ascii="仿宋_GB2312" w:hAnsi="宋体" w:eastAsia="仿宋_GB2312"/>
              </w:rPr>
            </w:pPr>
            <w:r>
              <w:rPr>
                <w:rFonts w:hint="eastAsia" w:ascii="仿宋_GB2312" w:hAnsi="宋体" w:eastAsia="仿宋_GB2312"/>
              </w:rPr>
              <w:t>了解制造业与机电设备及其市场营销环境，熟悉机电设备市场调研与预测方法。了解机电设备消费者市场购买行为阶段与特点，熟悉机电设备产业市场购买行为分析、影响生产者购买决策的因素，掌握生产者购买的决定过程、组织机构、政府和转卖市场。了解机电设备的整体概念、机电设备的生命周期与营销策略熟悉设备发展策略、机电设备组合、机电设备的品牌、商标与包装机电设备发展的趋势新设备。熟悉新设备开发的基本要求、内容体系、开发程序、经济分析。了解价格竞争的基本概念，熟悉机电设备定价程序、定价方法、价格策略。了解机电设备销售渠道，熟悉并掌握机电设备促销策略、市场竞争中的营销策略、机电设备市场营销的科学管理方法。</w:t>
            </w:r>
          </w:p>
        </w:tc>
        <w:tc>
          <w:tcPr>
            <w:tcW w:w="786"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仿宋" w:eastAsia="仿宋_GB2312"/>
                <w:color w:val="000000"/>
              </w:rPr>
            </w:pPr>
            <w:r>
              <w:rPr>
                <w:rFonts w:hint="eastAsia" w:ascii="仿宋_GB2312" w:hAnsi="仿宋" w:eastAsia="仿宋_GB2312"/>
                <w:color w:val="000000"/>
              </w:rPr>
              <w:t>3</w:t>
            </w:r>
            <w:r>
              <w:rPr>
                <w:rFonts w:ascii="仿宋_GB2312" w:hAnsi="仿宋" w:eastAsia="仿宋_GB2312"/>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hAnsi="等线" w:eastAsia="仿宋_GB2312"/>
                <w:bCs/>
                <w:color w:val="000000"/>
              </w:rPr>
              <w:t>4</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 w:hAnsi="仿宋" w:eastAsia="仿宋" w:cs="仿宋"/>
                <w:color w:val="000000"/>
                <w:kern w:val="0"/>
                <w:lang w:bidi="ar"/>
              </w:rPr>
              <w:t>金属加工与实训</w:t>
            </w:r>
          </w:p>
        </w:tc>
        <w:tc>
          <w:tcPr>
            <w:tcW w:w="3402"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rPr>
                <w:rFonts w:ascii="仿宋_GB2312" w:hAnsi="宋体" w:eastAsia="仿宋_GB2312"/>
              </w:rPr>
            </w:pPr>
            <w:r>
              <w:rPr>
                <w:rFonts w:hint="eastAsia" w:ascii="仿宋_GB2312" w:hAnsi="宋体" w:eastAsia="仿宋_GB2312"/>
              </w:rPr>
              <w:t>使学生掌握必备的金属材料、热处理、金属加工工艺的知识和技能；培养学生分析问题和解决问题的能力，使其形成良好的学习习惯，具备学习后续专业技术的能力</w:t>
            </w:r>
          </w:p>
        </w:tc>
        <w:tc>
          <w:tcPr>
            <w:tcW w:w="3827"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rPr>
                <w:rFonts w:ascii="仿宋_GB2312" w:hAnsi="宋体" w:eastAsia="仿宋_GB2312"/>
              </w:rPr>
            </w:pPr>
            <w:r>
              <w:rPr>
                <w:rFonts w:hint="eastAsia" w:ascii="仿宋_GB2312" w:hAnsi="宋体" w:eastAsia="仿宋_GB2312"/>
              </w:rPr>
              <w:t>正确选用常用金属材料；熟悉一般机械加工的工艺路线与热处理工</w:t>
            </w:r>
          </w:p>
          <w:p>
            <w:pPr>
              <w:spacing w:beforeLines="0" w:after="0" w:afterAutospacing="0" w:line="240" w:lineRule="auto"/>
              <w:ind w:firstLine="0" w:firstLineChars="0"/>
              <w:rPr>
                <w:rFonts w:ascii="仿宋_GB2312" w:hAnsi="宋体" w:eastAsia="仿宋_GB2312"/>
              </w:rPr>
            </w:pPr>
            <w:r>
              <w:rPr>
                <w:rFonts w:hint="eastAsia" w:ascii="仿宋_GB2312" w:hAnsi="宋体" w:eastAsia="仿宋_GB2312"/>
              </w:rPr>
              <w:t>序；掌握钳工、车工、铣工、焊工等金属加工的基础操作技能；会使用常用的工、量、刃具；能阅读中等复杂程度的零件图及常见工种的工艺卡，并能按工艺卡要求实施加工工艺。</w:t>
            </w:r>
          </w:p>
        </w:tc>
        <w:tc>
          <w:tcPr>
            <w:tcW w:w="786"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仿宋" w:eastAsia="仿宋_GB2312"/>
                <w:color w:val="000000"/>
              </w:rPr>
            </w:pPr>
            <w:r>
              <w:rPr>
                <w:rFonts w:hint="eastAsia" w:ascii="仿宋_GB2312" w:hAnsi="仿宋" w:eastAsia="仿宋_GB2312"/>
                <w:color w:val="000000"/>
              </w:rPr>
              <w:t>7</w:t>
            </w:r>
            <w:r>
              <w:rPr>
                <w:rFonts w:ascii="仿宋_GB2312" w:hAnsi="仿宋" w:eastAsia="仿宋_GB2312"/>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9067" w:type="dxa"/>
            <w:gridSpan w:val="4"/>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合计</w:t>
            </w:r>
          </w:p>
        </w:tc>
        <w:tc>
          <w:tcPr>
            <w:tcW w:w="786"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仿宋" w:eastAsia="仿宋_GB2312"/>
                <w:b/>
                <w:color w:val="000000"/>
              </w:rPr>
            </w:pPr>
            <w:r>
              <w:rPr>
                <w:rFonts w:ascii="仿宋_GB2312" w:hAnsi="仿宋" w:eastAsia="仿宋_GB2312"/>
                <w:b/>
                <w:color w:val="000000"/>
              </w:rPr>
              <w:t>216</w:t>
            </w:r>
          </w:p>
        </w:tc>
      </w:tr>
    </w:tbl>
    <w:p>
      <w:pPr>
        <w:pStyle w:val="3"/>
        <w:spacing w:before="326" w:after="163"/>
        <w:ind w:firstLine="482"/>
      </w:pPr>
      <w:bookmarkStart w:id="38" w:name="_Toc135351546"/>
      <w:r>
        <w:rPr>
          <w:rFonts w:hint="eastAsia"/>
        </w:rPr>
        <w:t>（五）素质选修课</w:t>
      </w:r>
      <w:bookmarkEnd w:id="38"/>
    </w:p>
    <w:p>
      <w:pPr>
        <w:spacing w:beforeLines="0" w:after="0" w:afterAutospacing="0" w:line="240" w:lineRule="auto"/>
        <w:ind w:firstLine="0" w:firstLineChars="0"/>
        <w:jc w:val="center"/>
        <w:rPr>
          <w:b/>
          <w:bCs/>
        </w:rPr>
      </w:pPr>
      <w:r>
        <w:rPr>
          <w:rStyle w:val="16"/>
          <w:rFonts w:hint="eastAsia" w:ascii="宋体" w:hAnsi="宋体"/>
        </w:rPr>
        <w:t>表</w:t>
      </w:r>
      <w:r>
        <w:rPr>
          <w:rStyle w:val="16"/>
        </w:rPr>
        <w:t>6</w:t>
      </w:r>
      <w:r>
        <w:rPr>
          <w:rStyle w:val="16"/>
          <w:rFonts w:hint="eastAsia" w:ascii="宋体" w:hAnsi="宋体"/>
        </w:rPr>
        <w:t>：素养选修课开设情况一览表</w:t>
      </w:r>
    </w:p>
    <w:tbl>
      <w:tblPr>
        <w:tblStyle w:val="12"/>
        <w:tblW w:w="49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1686"/>
        <w:gridCol w:w="2895"/>
        <w:gridCol w:w="4053"/>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序号</w:t>
            </w: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课程名称</w:t>
            </w:r>
          </w:p>
        </w:tc>
        <w:tc>
          <w:tcPr>
            <w:tcW w:w="282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课程目标</w:t>
            </w:r>
          </w:p>
        </w:tc>
        <w:tc>
          <w:tcPr>
            <w:tcW w:w="396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主要教学内容和要求</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参考</w:t>
            </w:r>
          </w:p>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02"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eastAsia="仿宋_GB2312"/>
                <w:bCs/>
                <w:color w:val="000000"/>
              </w:rPr>
              <w:t>1</w:t>
            </w:r>
          </w:p>
        </w:tc>
        <w:tc>
          <w:tcPr>
            <w:tcW w:w="1648"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宋体" w:eastAsia="仿宋_GB2312"/>
              </w:rPr>
            </w:pPr>
            <w:r>
              <w:rPr>
                <w:rFonts w:hint="eastAsia" w:ascii="仿宋_GB2312" w:hAnsi="宋体" w:eastAsia="仿宋_GB2312"/>
                <w:bCs/>
                <w:color w:val="000000"/>
              </w:rPr>
              <w:t>心理健康</w:t>
            </w:r>
          </w:p>
        </w:tc>
        <w:tc>
          <w:tcPr>
            <w:tcW w:w="2829"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480"/>
              <w:rPr>
                <w:rFonts w:ascii="仿宋_GB2312" w:hAnsi="等线" w:eastAsia="仿宋_GB2312"/>
                <w:bCs/>
                <w:color w:val="000000"/>
              </w:rPr>
            </w:pPr>
            <w:r>
              <w:rPr>
                <w:rFonts w:hint="eastAsia" w:ascii="仿宋_GB2312" w:hAnsi="宋体" w:eastAsia="仿宋_GB2312"/>
                <w:bCs/>
                <w:color w:val="000000"/>
              </w:rPr>
              <w:t>帮助学生了解心理健康的基本知识，树立心理健康意识，掌握心理调适的方法。指导学生正确处理各种人际关系，学会合作与竞争，培养职业兴趣，提高应对挫折、求职就业、适应社会的能力。正确认识自我，学会有效学习，确立符合自身发展的积极生活目标，培养责任感、义务感和创新精神，养成自信、自律、敬业、乐群的心理品质，提高全体学生的心理健康水平和职业心理素质。</w:t>
            </w:r>
          </w:p>
        </w:tc>
        <w:tc>
          <w:tcPr>
            <w:tcW w:w="3961"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240" w:firstLineChars="100"/>
              <w:rPr>
                <w:rFonts w:ascii="仿宋_GB2312" w:hAnsi="等线" w:eastAsia="仿宋_GB2312"/>
                <w:bCs/>
                <w:color w:val="000000"/>
              </w:rPr>
            </w:pPr>
            <w:r>
              <w:rPr>
                <w:rFonts w:hint="eastAsia" w:ascii="仿宋_GB2312" w:hAnsi="宋体" w:eastAsia="仿宋_GB2312"/>
                <w:bCs/>
                <w:color w:val="000000"/>
              </w:rPr>
              <w:t>内容：包括心理健康基本知识；悦纳自我，健康成长；和谐关系，快乐生活。</w:t>
            </w:r>
          </w:p>
          <w:p>
            <w:pPr>
              <w:spacing w:beforeLines="0" w:after="0" w:afterAutospacing="0" w:line="240" w:lineRule="auto"/>
              <w:ind w:firstLine="0" w:firstLineChars="0"/>
              <w:rPr>
                <w:rFonts w:ascii="仿宋_GB2312" w:hAnsi="等线" w:eastAsia="仿宋_GB2312"/>
                <w:bCs/>
                <w:color w:val="000000"/>
              </w:rPr>
            </w:pPr>
            <w:r>
              <w:rPr>
                <w:rFonts w:hint="eastAsia" w:ascii="仿宋_GB2312" w:hAnsi="宋体" w:eastAsia="仿宋_GB2312"/>
                <w:bCs/>
                <w:color w:val="000000"/>
              </w:rPr>
              <w:t>要求：在教学过程中，使学生了解心理健康的概念和标准。引导学生关注自己生理和心理发展特点，追求身心的全面协调发展。能主动进行心理调适，做积极、乐观、勇于面对现实的人。了解自己的性格特征、行为方式和成长规律。积极接纳自我，学会欣赏自我，敢于接受生活的挑战，追求自己的人生价值。热爱生活，崇尚人际交往中的尊重、平等、谦让、友善和宽容，反对自我中心、霸道和恶意报复，追求健康的生活方式。了解激发学习兴趣和动机的方法，理解学习概念的新内涵。</w:t>
            </w:r>
          </w:p>
        </w:tc>
        <w:tc>
          <w:tcPr>
            <w:tcW w:w="849"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仿宋" w:eastAsia="仿宋_GB2312"/>
                <w:color w:val="000000"/>
              </w:rPr>
            </w:pPr>
            <w:r>
              <w:rPr>
                <w:rFonts w:hint="eastAsia" w:ascii="仿宋_GB2312" w:eastAsia="仿宋_GB2312"/>
                <w:color w:val="000000"/>
              </w:rPr>
              <w:t>3</w:t>
            </w:r>
            <w:r>
              <w:rPr>
                <w:rFonts w:hint="eastAsia" w:ascii="仿宋_GB2312" w:hAnsi="仿宋" w:eastAsia="仿宋_GB2312"/>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0" w:hRule="atLeast"/>
          <w:jc w:val="center"/>
        </w:trPr>
        <w:tc>
          <w:tcPr>
            <w:tcW w:w="402"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eastAsia="仿宋_GB2312"/>
                <w:bCs/>
                <w:color w:val="000000"/>
              </w:rPr>
              <w:t>2</w:t>
            </w:r>
          </w:p>
        </w:tc>
        <w:tc>
          <w:tcPr>
            <w:tcW w:w="1648"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hAnsi="宋体" w:eastAsia="仿宋_GB2312"/>
                <w:bCs/>
                <w:color w:val="000000"/>
              </w:rPr>
              <w:t>书法</w:t>
            </w:r>
          </w:p>
        </w:tc>
        <w:tc>
          <w:tcPr>
            <w:tcW w:w="2829"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480"/>
              <w:rPr>
                <w:rFonts w:ascii="仿宋_GB2312" w:hAnsi="等线" w:eastAsia="仿宋_GB2312"/>
                <w:bCs/>
                <w:color w:val="000000"/>
              </w:rPr>
            </w:pPr>
            <w:r>
              <w:rPr>
                <w:rFonts w:hint="eastAsia" w:ascii="仿宋_GB2312" w:hAnsi="宋体" w:eastAsia="仿宋_GB2312"/>
                <w:bCs/>
                <w:color w:val="000000"/>
              </w:rPr>
              <w:t>使学生了解我国书法艺术的悠久历史，继承中华民族最优秀的传统文化；掌握汉字书写的基本知识，基本理论和基本技能；掌握毛笔、钢笔（园珠笔、粉笔）的正确执笔、运笔方法及书写技能。并使学生具有一定的美育知识，健康的审美观念和高尚的道德情操，从而进一步提高学生的综合素质及适应工作岗位的能力。</w:t>
            </w:r>
          </w:p>
        </w:tc>
        <w:tc>
          <w:tcPr>
            <w:tcW w:w="3961"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240" w:firstLineChars="100"/>
              <w:rPr>
                <w:rFonts w:ascii="仿宋_GB2312" w:hAnsi="等线" w:eastAsia="仿宋_GB2312"/>
                <w:bCs/>
                <w:color w:val="000000"/>
              </w:rPr>
            </w:pPr>
            <w:r>
              <w:rPr>
                <w:rFonts w:hint="eastAsia" w:ascii="仿宋_GB2312" w:hAnsi="宋体" w:eastAsia="仿宋_GB2312"/>
                <w:bCs/>
                <w:color w:val="000000"/>
              </w:rPr>
              <w:t>内容：书法绪论，毛笔使用技法，楷书基本笔画，楷书结构，作品章法介绍</w:t>
            </w:r>
            <w:r>
              <w:rPr>
                <w:rFonts w:hint="eastAsia" w:ascii="仿宋_GB2312" w:hAnsi="等线" w:eastAsia="仿宋_GB2312"/>
                <w:bCs/>
                <w:color w:val="000000"/>
              </w:rPr>
              <w:t> </w:t>
            </w:r>
            <w:r>
              <w:rPr>
                <w:rFonts w:hint="eastAsia" w:ascii="仿宋_GB2312" w:hAnsi="宋体" w:eastAsia="仿宋_GB2312"/>
                <w:bCs/>
                <w:color w:val="000000"/>
              </w:rPr>
              <w:t>，硬笔书法，行书结构与创作。</w:t>
            </w:r>
          </w:p>
          <w:p>
            <w:pPr>
              <w:spacing w:beforeLines="0" w:after="0" w:afterAutospacing="0" w:line="240" w:lineRule="auto"/>
              <w:ind w:firstLine="0" w:firstLineChars="0"/>
              <w:rPr>
                <w:rFonts w:ascii="仿宋_GB2312" w:hAnsi="等线" w:eastAsia="仿宋_GB2312"/>
                <w:bCs/>
                <w:color w:val="000000"/>
              </w:rPr>
            </w:pPr>
            <w:r>
              <w:rPr>
                <w:rFonts w:hint="eastAsia" w:ascii="仿宋_GB2312" w:hAnsi="宋体" w:eastAsia="仿宋_GB2312"/>
                <w:bCs/>
                <w:color w:val="000000"/>
              </w:rPr>
              <w:t>要求：熟悉著名碑贴的风格特点，做到能辩识，会分析。各种书体技法，应进行一般性练习，以了解运笔方法、点画特点、结构原则等。了解毛笔、钢笔、粉笔的书写方法和运用的知识，使学生掌握“三笔字”技巧，尤其是钢笔、粉笔的书写能力，能在未来的工作中熟练的应用到教学中去。</w:t>
            </w:r>
          </w:p>
        </w:tc>
        <w:tc>
          <w:tcPr>
            <w:tcW w:w="849"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仿宋" w:eastAsia="仿宋_GB2312"/>
                <w:color w:val="000000"/>
              </w:rPr>
            </w:pPr>
            <w:r>
              <w:rPr>
                <w:rFonts w:hint="eastAsia" w:ascii="仿宋_GB2312" w:hAnsi="仿宋" w:eastAsia="仿宋_GB2312"/>
                <w:color w:val="00000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5" w:hRule="atLeast"/>
          <w:jc w:val="center"/>
        </w:trPr>
        <w:tc>
          <w:tcPr>
            <w:tcW w:w="402"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eastAsia="仿宋_GB2312"/>
                <w:bCs/>
                <w:color w:val="000000"/>
              </w:rPr>
              <w:t>3</w:t>
            </w:r>
          </w:p>
        </w:tc>
        <w:tc>
          <w:tcPr>
            <w:tcW w:w="1648"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hAnsi="宋体" w:eastAsia="仿宋_GB2312"/>
                <w:bCs/>
                <w:color w:val="000000"/>
              </w:rPr>
              <w:t>中华优秀</w:t>
            </w:r>
          </w:p>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hAnsi="宋体" w:eastAsia="仿宋_GB2312"/>
                <w:bCs/>
                <w:color w:val="000000"/>
              </w:rPr>
              <w:t>传统文化</w:t>
            </w:r>
          </w:p>
        </w:tc>
        <w:tc>
          <w:tcPr>
            <w:tcW w:w="2829"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480"/>
              <w:rPr>
                <w:rFonts w:ascii="仿宋_GB2312" w:hAnsi="等线" w:eastAsia="仿宋_GB2312"/>
                <w:bCs/>
                <w:color w:val="000000"/>
              </w:rPr>
            </w:pPr>
            <w:r>
              <w:rPr>
                <w:rFonts w:hint="eastAsia" w:ascii="仿宋_GB2312" w:hAnsi="宋体" w:eastAsia="仿宋_GB2312"/>
                <w:bCs/>
                <w:color w:val="000000"/>
              </w:rPr>
              <w:t>全面贯彻党的教育方针，积极培育和践行社会主义核心价值观，围绕立德树人根本任务，以弘扬爱国主义为核心的团结统一、爱好和平、勤劳勇敢、自强不息的民族精神为主线，促进青少年学生全面发展，培养富有民族自信心和爱国主义精神的社会主义事业建设者和接班人。</w:t>
            </w:r>
          </w:p>
        </w:tc>
        <w:tc>
          <w:tcPr>
            <w:tcW w:w="3961"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240" w:firstLineChars="100"/>
              <w:rPr>
                <w:rFonts w:ascii="仿宋_GB2312" w:hAnsi="等线" w:eastAsia="仿宋_GB2312"/>
                <w:bCs/>
                <w:color w:val="000000"/>
              </w:rPr>
            </w:pPr>
            <w:r>
              <w:rPr>
                <w:rFonts w:hint="eastAsia" w:ascii="仿宋_GB2312" w:hAnsi="宋体" w:eastAsia="仿宋_GB2312"/>
                <w:bCs/>
                <w:color w:val="000000"/>
              </w:rPr>
              <w:t>主要内容：包括以天下兴亡、匹夫有责为重点的家国情怀教育；以仁爱共济、立己达人为重点的社会关爱教育；以正心笃志、崇德弘毅为重点的人格修养教育。</w:t>
            </w:r>
          </w:p>
          <w:p>
            <w:pPr>
              <w:spacing w:beforeLines="0" w:after="0" w:afterAutospacing="0" w:line="240" w:lineRule="auto"/>
              <w:ind w:firstLine="240" w:firstLineChars="100"/>
              <w:rPr>
                <w:rFonts w:ascii="仿宋_GB2312" w:hAnsi="等线" w:eastAsia="仿宋_GB2312"/>
                <w:bCs/>
                <w:color w:val="000000"/>
              </w:rPr>
            </w:pPr>
            <w:r>
              <w:rPr>
                <w:rFonts w:hint="eastAsia" w:ascii="仿宋_GB2312" w:hAnsi="宋体" w:eastAsia="仿宋_GB2312"/>
                <w:bCs/>
                <w:color w:val="000000"/>
              </w:rPr>
              <w:t>教学要求：</w:t>
            </w:r>
            <w:r>
              <w:rPr>
                <w:rFonts w:hint="eastAsia" w:ascii="仿宋_GB2312" w:hAnsi="等线" w:eastAsia="仿宋_GB2312"/>
                <w:bCs/>
                <w:color w:val="000000"/>
              </w:rPr>
              <w:t>1.</w:t>
            </w:r>
            <w:r>
              <w:rPr>
                <w:rFonts w:hint="eastAsia" w:ascii="仿宋_GB2312" w:hAnsi="宋体" w:eastAsia="仿宋_GB2312"/>
                <w:bCs/>
                <w:color w:val="000000"/>
              </w:rPr>
              <w:t>高效利用信息化资源，线上线下课堂结合，混合学习，学生自主学习与讨论学习；</w:t>
            </w:r>
            <w:r>
              <w:rPr>
                <w:rFonts w:hint="eastAsia" w:ascii="仿宋_GB2312" w:hAnsi="等线" w:eastAsia="仿宋_GB2312"/>
                <w:bCs/>
                <w:color w:val="000000"/>
              </w:rPr>
              <w:t>2.</w:t>
            </w:r>
            <w:r>
              <w:rPr>
                <w:rFonts w:hint="eastAsia" w:ascii="仿宋_GB2312" w:hAnsi="宋体" w:eastAsia="仿宋_GB2312"/>
                <w:bCs/>
                <w:color w:val="000000"/>
              </w:rPr>
              <w:t>组织学生阅读经典名篇，观赏名人事迹视频，引导学生接受文化熏陶，提高古典文学和传统艺术鉴赏能力；</w:t>
            </w:r>
            <w:r>
              <w:rPr>
                <w:rFonts w:hint="eastAsia" w:ascii="仿宋_GB2312" w:hAnsi="等线" w:eastAsia="仿宋_GB2312"/>
                <w:bCs/>
                <w:color w:val="000000"/>
              </w:rPr>
              <w:t>3.</w:t>
            </w:r>
            <w:r>
              <w:rPr>
                <w:rFonts w:hint="eastAsia" w:ascii="仿宋_GB2312" w:hAnsi="宋体" w:eastAsia="仿宋_GB2312"/>
                <w:bCs/>
                <w:color w:val="000000"/>
              </w:rPr>
              <w:t>开展多种形式的学习成果总结展示活动，提高学习积极性，促进文化对个人的内化。</w:t>
            </w:r>
          </w:p>
        </w:tc>
        <w:tc>
          <w:tcPr>
            <w:tcW w:w="849"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仿宋" w:eastAsia="仿宋_GB2312"/>
                <w:color w:val="000000"/>
              </w:rPr>
            </w:pPr>
            <w:r>
              <w:rPr>
                <w:rFonts w:hint="eastAsia" w:ascii="仿宋_GB2312" w:eastAsia="仿宋_GB2312"/>
                <w:color w:val="00000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8840" w:type="dxa"/>
            <w:gridSpan w:val="4"/>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合计</w:t>
            </w:r>
          </w:p>
        </w:tc>
        <w:tc>
          <w:tcPr>
            <w:tcW w:w="849"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仿宋" w:eastAsia="仿宋_GB2312"/>
                <w:b/>
                <w:color w:val="000000"/>
              </w:rPr>
            </w:pPr>
            <w:r>
              <w:rPr>
                <w:rFonts w:hint="eastAsia" w:ascii="仿宋_GB2312" w:eastAsia="仿宋_GB2312"/>
                <w:b/>
                <w:color w:val="000000"/>
              </w:rPr>
              <w:t>1</w:t>
            </w:r>
            <w:r>
              <w:rPr>
                <w:rFonts w:hint="eastAsia" w:ascii="仿宋_GB2312" w:hAnsi="仿宋" w:eastAsia="仿宋_GB2312"/>
                <w:b/>
                <w:color w:val="000000"/>
              </w:rPr>
              <w:t>44</w:t>
            </w:r>
          </w:p>
        </w:tc>
      </w:tr>
    </w:tbl>
    <w:p>
      <w:pPr>
        <w:pStyle w:val="3"/>
        <w:spacing w:before="326" w:after="163"/>
        <w:ind w:firstLine="482"/>
      </w:pPr>
      <w:bookmarkStart w:id="39" w:name="_Toc135351547"/>
      <w:r>
        <w:rPr>
          <w:rFonts w:hint="eastAsia"/>
        </w:rPr>
        <w:t>（六）综合实训</w:t>
      </w:r>
      <w:bookmarkEnd w:id="39"/>
    </w:p>
    <w:p>
      <w:pPr>
        <w:pStyle w:val="19"/>
        <w:spacing w:before="0" w:beforeLines="0" w:line="240" w:lineRule="auto"/>
        <w:ind w:firstLine="480"/>
        <w:rPr>
          <w:rFonts w:ascii="仿宋" w:hAnsi="仿宋" w:eastAsia="仿宋"/>
          <w:szCs w:val="24"/>
        </w:rPr>
      </w:pPr>
      <w:r>
        <w:rPr>
          <w:rFonts w:hint="eastAsia" w:ascii="仿宋" w:hAnsi="仿宋" w:eastAsia="仿宋"/>
          <w:szCs w:val="24"/>
        </w:rPr>
        <w:t>综合实训可以提高学生的实际动手能力，提高学生运用所学知识与技能去解决实际问题，在训练中不断提升能力。同时，综合实训还可以锻炼学生团队协作精神，使学生树立团队协作观念，为将来的工作打好基础，因此，学生每学年完一定的专业课程学习后，将统一安排学生集中实训。通过引入企业的实际工作项目实训1-2周，以提高学生解决实际问题的能力，同时也可让学生提前熟悉实际工作岗位的任务，安排如下：</w:t>
      </w:r>
    </w:p>
    <w:p>
      <w:pPr>
        <w:adjustRightInd w:val="0"/>
        <w:snapToGrid w:val="0"/>
        <w:spacing w:beforeLines="0" w:after="0" w:afterAutospacing="0" w:line="240" w:lineRule="auto"/>
        <w:ind w:firstLine="480"/>
        <w:jc w:val="center"/>
        <w:rPr>
          <w:rFonts w:ascii="仿宋" w:hAnsi="仿宋" w:eastAsia="仿宋" w:cs="宋体"/>
          <w:kern w:val="0"/>
        </w:rPr>
      </w:pPr>
      <w:r>
        <w:rPr>
          <w:rFonts w:hint="eastAsia" w:ascii="仿宋" w:hAnsi="仿宋" w:eastAsia="仿宋"/>
          <w:color w:val="000000"/>
        </w:rPr>
        <w:t>表</w:t>
      </w:r>
      <w:r>
        <w:rPr>
          <w:rFonts w:ascii="仿宋" w:hAnsi="仿宋" w:eastAsia="仿宋"/>
          <w:color w:val="000000"/>
        </w:rPr>
        <w:t>7</w:t>
      </w:r>
      <w:r>
        <w:rPr>
          <w:rFonts w:hint="eastAsia" w:ascii="仿宋" w:hAnsi="仿宋" w:eastAsia="仿宋"/>
          <w:color w:val="000000"/>
        </w:rPr>
        <w:t>：</w:t>
      </w:r>
      <w:r>
        <w:rPr>
          <w:rFonts w:hint="eastAsia" w:ascii="仿宋" w:hAnsi="仿宋" w:eastAsia="仿宋"/>
        </w:rPr>
        <w:t>综合实训表</w:t>
      </w:r>
      <w:r>
        <w:rPr>
          <w:rFonts w:hint="eastAsia" w:ascii="仿宋" w:hAnsi="仿宋" w:eastAsia="仿宋" w:cs="宋体"/>
          <w:kern w:val="0"/>
        </w:rPr>
        <w:t xml:space="preserve"> </w:t>
      </w:r>
    </w:p>
    <w:tbl>
      <w:tblPr>
        <w:tblStyle w:val="13"/>
        <w:tblW w:w="8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1761"/>
        <w:gridCol w:w="3342"/>
        <w:gridCol w:w="709"/>
        <w:gridCol w:w="709"/>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jc w:val="center"/>
              <w:rPr>
                <w:rFonts w:ascii="仿宋" w:hAnsi="仿宋" w:eastAsia="仿宋"/>
                <w:b/>
                <w:kern w:val="2"/>
                <w:szCs w:val="24"/>
              </w:rPr>
            </w:pPr>
            <w:r>
              <w:rPr>
                <w:rFonts w:hint="eastAsia" w:ascii="仿宋" w:hAnsi="仿宋" w:eastAsia="仿宋"/>
                <w:b/>
                <w:kern w:val="0"/>
                <w:szCs w:val="24"/>
              </w:rPr>
              <w:t>序号</w:t>
            </w:r>
          </w:p>
        </w:tc>
        <w:tc>
          <w:tcPr>
            <w:tcW w:w="1761"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b/>
                <w:kern w:val="0"/>
                <w:szCs w:val="24"/>
              </w:rPr>
            </w:pPr>
            <w:r>
              <w:rPr>
                <w:rFonts w:hint="eastAsia" w:ascii="仿宋" w:hAnsi="仿宋" w:eastAsia="仿宋"/>
                <w:b/>
                <w:kern w:val="0"/>
                <w:szCs w:val="24"/>
              </w:rPr>
              <w:t>项目名称</w:t>
            </w:r>
          </w:p>
        </w:tc>
        <w:tc>
          <w:tcPr>
            <w:tcW w:w="3342"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jc w:val="center"/>
              <w:rPr>
                <w:rFonts w:ascii="仿宋" w:hAnsi="仿宋" w:eastAsia="仿宋"/>
                <w:b/>
                <w:kern w:val="0"/>
                <w:szCs w:val="24"/>
              </w:rPr>
            </w:pPr>
            <w:r>
              <w:rPr>
                <w:rFonts w:hint="eastAsia" w:ascii="仿宋" w:hAnsi="仿宋" w:eastAsia="仿宋"/>
                <w:b/>
                <w:kern w:val="0"/>
                <w:szCs w:val="24"/>
              </w:rPr>
              <w:t>实训内容</w:t>
            </w:r>
          </w:p>
        </w:tc>
        <w:tc>
          <w:tcPr>
            <w:tcW w:w="709"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jc w:val="center"/>
              <w:rPr>
                <w:rFonts w:ascii="仿宋" w:hAnsi="仿宋" w:eastAsia="仿宋"/>
                <w:b/>
                <w:kern w:val="0"/>
                <w:szCs w:val="24"/>
              </w:rPr>
            </w:pPr>
            <w:r>
              <w:rPr>
                <w:rFonts w:hint="eastAsia" w:ascii="仿宋" w:hAnsi="仿宋" w:eastAsia="仿宋"/>
                <w:b/>
                <w:kern w:val="0"/>
                <w:szCs w:val="24"/>
              </w:rPr>
              <w:t>学期</w:t>
            </w:r>
          </w:p>
        </w:tc>
        <w:tc>
          <w:tcPr>
            <w:tcW w:w="709"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jc w:val="center"/>
              <w:rPr>
                <w:rFonts w:ascii="仿宋" w:hAnsi="仿宋" w:eastAsia="仿宋"/>
                <w:b/>
                <w:kern w:val="0"/>
                <w:szCs w:val="24"/>
              </w:rPr>
            </w:pPr>
            <w:r>
              <w:rPr>
                <w:rFonts w:hint="eastAsia" w:ascii="仿宋" w:hAnsi="仿宋" w:eastAsia="仿宋"/>
                <w:b/>
                <w:kern w:val="0"/>
                <w:szCs w:val="24"/>
              </w:rPr>
              <w:t>周数</w:t>
            </w:r>
          </w:p>
        </w:tc>
        <w:tc>
          <w:tcPr>
            <w:tcW w:w="709"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jc w:val="center"/>
              <w:rPr>
                <w:rFonts w:ascii="仿宋" w:hAnsi="仿宋" w:eastAsia="仿宋"/>
                <w:b/>
                <w:kern w:val="0"/>
                <w:szCs w:val="24"/>
              </w:rPr>
            </w:pPr>
            <w:r>
              <w:rPr>
                <w:rFonts w:hint="eastAsia" w:ascii="仿宋" w:hAnsi="仿宋" w:eastAsia="仿宋"/>
                <w:b/>
                <w:kern w:val="0"/>
                <w:szCs w:val="24"/>
              </w:rPr>
              <w:t>地点</w:t>
            </w:r>
          </w:p>
        </w:tc>
        <w:tc>
          <w:tcPr>
            <w:tcW w:w="708"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jc w:val="center"/>
              <w:rPr>
                <w:rFonts w:ascii="仿宋" w:hAnsi="仿宋" w:eastAsia="仿宋"/>
                <w:b/>
                <w:kern w:val="0"/>
                <w:szCs w:val="24"/>
              </w:rPr>
            </w:pPr>
            <w:r>
              <w:rPr>
                <w:rFonts w:hint="eastAsia" w:ascii="仿宋" w:hAnsi="仿宋" w:eastAsia="仿宋"/>
                <w:b/>
                <w:kern w:val="0"/>
                <w:szCs w:val="24"/>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kern w:val="0"/>
                <w:szCs w:val="24"/>
              </w:rPr>
              <w:t>1</w:t>
            </w:r>
          </w:p>
        </w:tc>
        <w:tc>
          <w:tcPr>
            <w:tcW w:w="1761"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kern w:val="0"/>
                <w:szCs w:val="24"/>
              </w:rPr>
              <w:t>数控车床编程与加工技术</w:t>
            </w:r>
          </w:p>
        </w:tc>
        <w:tc>
          <w:tcPr>
            <w:tcW w:w="3342"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cs="宋体"/>
                <w:kern w:val="0"/>
                <w:szCs w:val="24"/>
              </w:rPr>
              <w:t>外圆的加工、孔加工、复杂型面加工</w:t>
            </w:r>
          </w:p>
        </w:tc>
        <w:tc>
          <w:tcPr>
            <w:tcW w:w="709"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ascii="仿宋" w:hAnsi="仿宋" w:eastAsia="仿宋" w:cs="宋体"/>
                <w:kern w:val="0"/>
                <w:szCs w:val="24"/>
              </w:rPr>
              <w:t>3</w:t>
            </w:r>
            <w:r>
              <w:rPr>
                <w:rFonts w:hint="eastAsia" w:ascii="仿宋" w:hAnsi="仿宋" w:eastAsia="仿宋" w:cs="宋体"/>
                <w:kern w:val="0"/>
                <w:szCs w:val="24"/>
              </w:rPr>
              <w:t>、4</w:t>
            </w:r>
          </w:p>
        </w:tc>
        <w:tc>
          <w:tcPr>
            <w:tcW w:w="709"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cs="宋体"/>
                <w:kern w:val="0"/>
                <w:szCs w:val="24"/>
              </w:rPr>
              <w:t>1周</w:t>
            </w:r>
          </w:p>
        </w:tc>
        <w:tc>
          <w:tcPr>
            <w:tcW w:w="709"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cs="宋体"/>
                <w:kern w:val="0"/>
                <w:szCs w:val="24"/>
              </w:rPr>
              <w:t>校内</w:t>
            </w:r>
          </w:p>
        </w:tc>
        <w:tc>
          <w:tcPr>
            <w:tcW w:w="708"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cs="宋体"/>
                <w:kern w:val="0"/>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kern w:val="0"/>
                <w:szCs w:val="24"/>
              </w:rPr>
              <w:t>2</w:t>
            </w:r>
          </w:p>
        </w:tc>
        <w:tc>
          <w:tcPr>
            <w:tcW w:w="1761"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cs="宋体"/>
                <w:kern w:val="0"/>
                <w:szCs w:val="24"/>
              </w:rPr>
              <w:t>数控铣床编程与加工技术</w:t>
            </w:r>
          </w:p>
        </w:tc>
        <w:tc>
          <w:tcPr>
            <w:tcW w:w="3342"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cs="宋体"/>
                <w:kern w:val="0"/>
                <w:szCs w:val="24"/>
              </w:rPr>
              <w:t>孔系类零件加工、平面、侧面、配合件、斜面铣削加工、异形零件加工、花键加工</w:t>
            </w:r>
          </w:p>
        </w:tc>
        <w:tc>
          <w:tcPr>
            <w:tcW w:w="709"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ascii="仿宋" w:hAnsi="仿宋" w:eastAsia="仿宋" w:cs="宋体"/>
                <w:kern w:val="0"/>
                <w:szCs w:val="24"/>
              </w:rPr>
              <w:t>5</w:t>
            </w:r>
            <w:r>
              <w:rPr>
                <w:rFonts w:hint="eastAsia" w:ascii="仿宋" w:hAnsi="仿宋" w:eastAsia="仿宋" w:cs="宋体"/>
                <w:kern w:val="0"/>
                <w:szCs w:val="24"/>
              </w:rPr>
              <w:t>、6</w:t>
            </w:r>
          </w:p>
        </w:tc>
        <w:tc>
          <w:tcPr>
            <w:tcW w:w="709"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cs="宋体"/>
                <w:kern w:val="0"/>
                <w:szCs w:val="24"/>
              </w:rPr>
              <w:t>1周</w:t>
            </w:r>
          </w:p>
        </w:tc>
        <w:tc>
          <w:tcPr>
            <w:tcW w:w="709"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cs="宋体"/>
                <w:kern w:val="0"/>
                <w:szCs w:val="24"/>
              </w:rPr>
              <w:t>校内</w:t>
            </w:r>
          </w:p>
        </w:tc>
        <w:tc>
          <w:tcPr>
            <w:tcW w:w="708"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cs="宋体"/>
                <w:kern w:val="0"/>
                <w:szCs w:val="24"/>
              </w:rPr>
              <w:t>考查</w:t>
            </w:r>
          </w:p>
        </w:tc>
      </w:tr>
    </w:tbl>
    <w:p>
      <w:pPr>
        <w:pStyle w:val="3"/>
        <w:numPr>
          <w:ilvl w:val="0"/>
          <w:numId w:val="6"/>
        </w:numPr>
        <w:spacing w:before="326" w:after="163"/>
        <w:ind w:firstLine="482"/>
        <w:rPr>
          <w:rFonts w:hint="eastAsia"/>
        </w:rPr>
      </w:pPr>
      <w:bookmarkStart w:id="40" w:name="_Toc135351548"/>
      <w:r>
        <w:rPr>
          <w:rFonts w:hint="eastAsia"/>
        </w:rPr>
        <w:t>实习</w:t>
      </w:r>
      <w:bookmarkEnd w:id="40"/>
    </w:p>
    <w:p>
      <w:pPr>
        <w:pStyle w:val="19"/>
        <w:spacing w:before="0" w:beforeLines="0" w:line="240" w:lineRule="auto"/>
        <w:ind w:left="0" w:leftChars="0" w:firstLine="480" w:firstLineChars="200"/>
        <w:rPr>
          <w:rFonts w:hint="eastAsia" w:ascii="仿宋" w:hAnsi="仿宋" w:eastAsia="仿宋"/>
          <w:szCs w:val="24"/>
        </w:rPr>
      </w:pPr>
      <w:r>
        <w:rPr>
          <w:rFonts w:hint="eastAsia" w:ascii="仿宋" w:hAnsi="仿宋" w:eastAsia="仿宋"/>
          <w:szCs w:val="24"/>
        </w:rPr>
        <w:t>依据《中华人民共和国教育法》、《中华人民共和国职业教育法》、《中等职业学校学生实习管理办法》等相关法律法规，学校组织学生参加顶岗实习。学生前</w:t>
      </w:r>
      <w:r>
        <w:rPr>
          <w:rFonts w:hint="eastAsia" w:ascii="仿宋" w:hAnsi="仿宋" w:eastAsia="仿宋"/>
          <w:szCs w:val="24"/>
          <w:lang w:val="en-US" w:eastAsia="zh-CN"/>
        </w:rPr>
        <w:t>3</w:t>
      </w:r>
      <w:r>
        <w:rPr>
          <w:rFonts w:hint="eastAsia" w:ascii="仿宋" w:hAnsi="仿宋" w:eastAsia="仿宋"/>
          <w:szCs w:val="24"/>
        </w:rPr>
        <w:t>年在学校完成国家规定的学习任务，</w:t>
      </w:r>
      <w:r>
        <w:rPr>
          <w:rFonts w:hint="eastAsia" w:ascii="仿宋" w:hAnsi="仿宋" w:eastAsia="仿宋"/>
          <w:szCs w:val="24"/>
          <w:lang w:eastAsia="zh-CN"/>
        </w:rPr>
        <w:t>各</w:t>
      </w:r>
      <w:r>
        <w:rPr>
          <w:rFonts w:hint="eastAsia" w:ascii="仿宋" w:hAnsi="仿宋" w:eastAsia="仿宋"/>
          <w:szCs w:val="24"/>
        </w:rPr>
        <w:t>学期集中或分段组织学生到</w:t>
      </w:r>
      <w:r>
        <w:rPr>
          <w:rFonts w:hint="eastAsia" w:ascii="仿宋" w:hAnsi="仿宋" w:eastAsia="仿宋"/>
          <w:szCs w:val="24"/>
          <w:lang w:eastAsia="zh-CN"/>
        </w:rPr>
        <w:t>企业</w:t>
      </w:r>
      <w:r>
        <w:rPr>
          <w:rFonts w:hint="eastAsia" w:ascii="仿宋" w:hAnsi="仿宋" w:eastAsia="仿宋"/>
          <w:szCs w:val="24"/>
        </w:rPr>
        <w:t>进行实习。实习期间，合作企业指派技术能力强的技术骨干承担指导教师，使学生的专业技能得到较大的提升。学生在企业实习期间，由企业和学校共同管理。实习结束，由企业师傅对学生进行评价，作为学生的实习成绩记入档案。</w:t>
      </w:r>
    </w:p>
    <w:p>
      <w:pPr>
        <w:pStyle w:val="19"/>
        <w:spacing w:before="0" w:beforeLines="0" w:line="240" w:lineRule="auto"/>
        <w:ind w:left="0" w:leftChars="0" w:firstLine="480" w:firstLineChars="200"/>
        <w:jc w:val="center"/>
        <w:rPr>
          <w:rFonts w:hint="eastAsia" w:ascii="仿宋" w:hAnsi="仿宋" w:eastAsia="仿宋"/>
          <w:szCs w:val="24"/>
        </w:rPr>
      </w:pPr>
      <w:r>
        <w:rPr>
          <w:rFonts w:hint="eastAsia" w:ascii="仿宋" w:hAnsi="仿宋" w:eastAsia="仿宋" w:cs="宋体"/>
          <w:kern w:val="0"/>
        </w:rPr>
        <w:t>表</w:t>
      </w:r>
      <w:r>
        <w:rPr>
          <w:rFonts w:ascii="仿宋" w:hAnsi="仿宋" w:eastAsia="仿宋" w:cs="宋体"/>
          <w:kern w:val="0"/>
        </w:rPr>
        <w:t>8</w:t>
      </w:r>
      <w:r>
        <w:rPr>
          <w:rFonts w:hint="eastAsia" w:ascii="仿宋" w:hAnsi="仿宋" w:eastAsia="仿宋" w:cs="宋体"/>
          <w:kern w:val="0"/>
        </w:rPr>
        <w:t>：“双岗融合、证书融通”人才培养模式结构表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6"/>
        <w:gridCol w:w="1489"/>
        <w:gridCol w:w="1567"/>
        <w:gridCol w:w="1569"/>
        <w:gridCol w:w="154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5" w:type="dxa"/>
            <w:gridSpan w:val="2"/>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学校基础模拟实训阶段</w:t>
            </w:r>
          </w:p>
        </w:tc>
        <w:tc>
          <w:tcPr>
            <w:tcW w:w="3136" w:type="dxa"/>
            <w:gridSpan w:val="2"/>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校企生产实训阶段</w:t>
            </w:r>
          </w:p>
        </w:tc>
        <w:tc>
          <w:tcPr>
            <w:tcW w:w="3080" w:type="dxa"/>
            <w:gridSpan w:val="2"/>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企业定岗实训阶段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646"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第一学期</w:t>
            </w:r>
          </w:p>
        </w:tc>
        <w:tc>
          <w:tcPr>
            <w:tcW w:w="1489"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第二学期</w:t>
            </w:r>
          </w:p>
        </w:tc>
        <w:tc>
          <w:tcPr>
            <w:tcW w:w="1567"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第三学期</w:t>
            </w:r>
          </w:p>
        </w:tc>
        <w:tc>
          <w:tcPr>
            <w:tcW w:w="1569"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第四学期</w:t>
            </w:r>
          </w:p>
        </w:tc>
        <w:tc>
          <w:tcPr>
            <w:tcW w:w="1540"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第五学期</w:t>
            </w:r>
          </w:p>
        </w:tc>
        <w:tc>
          <w:tcPr>
            <w:tcW w:w="1540"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体验参观</w:t>
            </w:r>
          </w:p>
        </w:tc>
        <w:tc>
          <w:tcPr>
            <w:tcW w:w="1489"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基础训练</w:t>
            </w:r>
          </w:p>
        </w:tc>
        <w:tc>
          <w:tcPr>
            <w:tcW w:w="1567"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专项训练</w:t>
            </w:r>
          </w:p>
        </w:tc>
        <w:tc>
          <w:tcPr>
            <w:tcW w:w="1569"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综合实训</w:t>
            </w:r>
          </w:p>
        </w:tc>
        <w:tc>
          <w:tcPr>
            <w:tcW w:w="1540"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轮岗见习</w:t>
            </w:r>
          </w:p>
        </w:tc>
        <w:tc>
          <w:tcPr>
            <w:tcW w:w="1540"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46"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企业文化认知能力</w:t>
            </w:r>
          </w:p>
        </w:tc>
        <w:tc>
          <w:tcPr>
            <w:tcW w:w="1489"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基础知识基本技能</w:t>
            </w:r>
          </w:p>
        </w:tc>
        <w:tc>
          <w:tcPr>
            <w:tcW w:w="1567"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专项知识专项技能</w:t>
            </w:r>
          </w:p>
        </w:tc>
        <w:tc>
          <w:tcPr>
            <w:tcW w:w="1569"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综合知识综合技能</w:t>
            </w:r>
          </w:p>
        </w:tc>
        <w:tc>
          <w:tcPr>
            <w:tcW w:w="1540"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职业资格初/中级技能</w:t>
            </w:r>
          </w:p>
        </w:tc>
        <w:tc>
          <w:tcPr>
            <w:tcW w:w="1540"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职业资格中/高级技能</w:t>
            </w:r>
          </w:p>
        </w:tc>
      </w:tr>
    </w:tbl>
    <w:p>
      <w:pPr>
        <w:pStyle w:val="33"/>
      </w:pPr>
      <w:bookmarkStart w:id="41" w:name="_Toc5899794"/>
      <w:bookmarkStart w:id="42" w:name="_Toc5900321"/>
      <w:bookmarkStart w:id="43" w:name="_Toc10556149"/>
      <w:bookmarkStart w:id="44" w:name="_Toc17216699"/>
      <w:bookmarkStart w:id="45" w:name="_Toc16356572"/>
      <w:bookmarkStart w:id="46" w:name="_Toc135351549"/>
      <w:r>
        <w:rPr>
          <w:rFonts w:hint="eastAsia"/>
        </w:rPr>
        <w:t>七、教学</w:t>
      </w:r>
      <w:bookmarkEnd w:id="41"/>
      <w:bookmarkEnd w:id="42"/>
      <w:bookmarkEnd w:id="43"/>
      <w:r>
        <w:rPr>
          <w:rFonts w:hint="eastAsia"/>
        </w:rPr>
        <w:t>进程总体安排</w:t>
      </w:r>
      <w:bookmarkEnd w:id="44"/>
      <w:bookmarkEnd w:id="45"/>
      <w:bookmarkEnd w:id="46"/>
    </w:p>
    <w:p>
      <w:pPr>
        <w:pStyle w:val="19"/>
        <w:spacing w:before="0" w:beforeLines="0" w:line="240" w:lineRule="auto"/>
        <w:ind w:firstLine="480"/>
        <w:rPr>
          <w:rFonts w:ascii="仿宋" w:hAnsi="仿宋" w:eastAsia="仿宋"/>
          <w:szCs w:val="24"/>
        </w:rPr>
      </w:pPr>
      <w:r>
        <w:rPr>
          <w:rFonts w:hint="eastAsia" w:ascii="仿宋" w:hAnsi="仿宋" w:eastAsia="仿宋"/>
          <w:szCs w:val="24"/>
        </w:rPr>
        <w:t>依据教育部《关于组织做好职业院校专业人才培养方案制订与实施工作的通知》（教职成司函[2019]61号）精神，主要呈现本专业开设课程类别、课程性质、课程名称、课程编码、学时学分、学期课程安排、考核方式、有关学时比例要求。</w:t>
      </w:r>
    </w:p>
    <w:p>
      <w:pPr>
        <w:adjustRightInd w:val="0"/>
        <w:snapToGrid w:val="0"/>
        <w:spacing w:before="163" w:after="0" w:afterAutospacing="0" w:line="240" w:lineRule="auto"/>
        <w:ind w:firstLine="480"/>
        <w:jc w:val="center"/>
        <w:rPr>
          <w:rFonts w:ascii="仿宋" w:hAnsi="仿宋" w:eastAsia="仿宋" w:cs="宋体"/>
          <w:kern w:val="0"/>
        </w:rPr>
      </w:pPr>
      <w:r>
        <w:rPr>
          <w:rFonts w:hint="eastAsia" w:ascii="仿宋" w:hAnsi="仿宋" w:eastAsia="仿宋" w:cs="宋体"/>
          <w:kern w:val="0"/>
        </w:rPr>
        <w:t>表</w:t>
      </w:r>
      <w:r>
        <w:rPr>
          <w:rFonts w:hint="eastAsia" w:ascii="仿宋" w:hAnsi="仿宋" w:eastAsia="仿宋" w:cs="宋体"/>
          <w:kern w:val="0"/>
          <w:lang w:val="en-US" w:eastAsia="zh-CN"/>
        </w:rPr>
        <w:t>9</w:t>
      </w:r>
      <w:r>
        <w:rPr>
          <w:rFonts w:hint="eastAsia" w:ascii="仿宋" w:hAnsi="仿宋" w:eastAsia="仿宋" w:cs="宋体"/>
          <w:kern w:val="0"/>
        </w:rPr>
        <w:t>：总体教学进程安排表</w:t>
      </w:r>
    </w:p>
    <w:tbl>
      <w:tblPr>
        <w:tblStyle w:val="12"/>
        <w:tblW w:w="52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682"/>
        <w:gridCol w:w="6"/>
        <w:gridCol w:w="1892"/>
        <w:gridCol w:w="1094"/>
        <w:gridCol w:w="618"/>
        <w:gridCol w:w="748"/>
        <w:gridCol w:w="569"/>
        <w:gridCol w:w="570"/>
        <w:gridCol w:w="569"/>
        <w:gridCol w:w="570"/>
        <w:gridCol w:w="569"/>
        <w:gridCol w:w="570"/>
        <w:gridCol w:w="829"/>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98" w:type="dxa"/>
            <w:vMerge w:val="restart"/>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b/>
                <w:bCs/>
                <w:kern w:val="0"/>
              </w:rPr>
              <w:t>课程</w:t>
            </w:r>
          </w:p>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类别</w:t>
            </w:r>
          </w:p>
        </w:tc>
        <w:tc>
          <w:tcPr>
            <w:tcW w:w="667" w:type="dxa"/>
            <w:vMerge w:val="restart"/>
            <w:shd w:val="clear" w:color="auto" w:fill="auto"/>
            <w:vAlign w:val="center"/>
          </w:tcPr>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课程</w:t>
            </w:r>
          </w:p>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性质</w:t>
            </w:r>
          </w:p>
        </w:tc>
        <w:tc>
          <w:tcPr>
            <w:tcW w:w="1855" w:type="dxa"/>
            <w:gridSpan w:val="2"/>
            <w:vMerge w:val="restart"/>
            <w:shd w:val="clear" w:color="auto" w:fill="auto"/>
            <w:vAlign w:val="center"/>
          </w:tcPr>
          <w:p>
            <w:pPr>
              <w:adjustRightInd w:val="0"/>
              <w:snapToGrid w:val="0"/>
              <w:spacing w:beforeLines="0" w:after="0" w:afterAutospacing="0" w:line="240" w:lineRule="auto"/>
              <w:ind w:firstLine="482"/>
              <w:jc w:val="center"/>
              <w:rPr>
                <w:rFonts w:ascii="仿宋_GB2312" w:hAnsi="宋体" w:eastAsia="仿宋_GB2312"/>
                <w:b/>
                <w:bCs/>
                <w:kern w:val="0"/>
              </w:rPr>
            </w:pPr>
            <w:r>
              <w:rPr>
                <w:rFonts w:hint="eastAsia" w:ascii="仿宋_GB2312" w:hAnsi="宋体" w:eastAsia="仿宋_GB2312"/>
                <w:b/>
                <w:bCs/>
                <w:kern w:val="0"/>
              </w:rPr>
              <w:t>课程名称</w:t>
            </w:r>
          </w:p>
        </w:tc>
        <w:tc>
          <w:tcPr>
            <w:tcW w:w="1069" w:type="dxa"/>
            <w:vMerge w:val="restart"/>
            <w:shd w:val="clear" w:color="auto" w:fill="auto"/>
            <w:vAlign w:val="center"/>
          </w:tcPr>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课程</w:t>
            </w:r>
          </w:p>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代码</w:t>
            </w:r>
          </w:p>
        </w:tc>
        <w:tc>
          <w:tcPr>
            <w:tcW w:w="604" w:type="dxa"/>
            <w:vMerge w:val="restart"/>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学分</w:t>
            </w:r>
          </w:p>
        </w:tc>
        <w:tc>
          <w:tcPr>
            <w:tcW w:w="731" w:type="dxa"/>
            <w:vMerge w:val="restart"/>
            <w:shd w:val="clear" w:color="auto" w:fill="auto"/>
            <w:vAlign w:val="center"/>
          </w:tcPr>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学时</w:t>
            </w:r>
          </w:p>
        </w:tc>
        <w:tc>
          <w:tcPr>
            <w:tcW w:w="3339" w:type="dxa"/>
            <w:gridSpan w:val="6"/>
            <w:shd w:val="clear" w:color="auto" w:fill="auto"/>
            <w:vAlign w:val="center"/>
          </w:tcPr>
          <w:p>
            <w:pPr>
              <w:widowControl/>
              <w:adjustRightInd w:val="0"/>
              <w:snapToGrid w:val="0"/>
              <w:spacing w:beforeLines="0" w:after="0" w:afterAutospacing="0" w:line="240" w:lineRule="auto"/>
              <w:ind w:firstLine="482"/>
              <w:jc w:val="center"/>
              <w:rPr>
                <w:rFonts w:ascii="仿宋_GB2312" w:hAnsi="宋体" w:eastAsia="仿宋_GB2312"/>
                <w:b/>
                <w:bCs/>
                <w:kern w:val="0"/>
              </w:rPr>
            </w:pPr>
            <w:r>
              <w:rPr>
                <w:rFonts w:hint="eastAsia" w:ascii="仿宋_GB2312" w:hAnsi="宋体" w:eastAsia="仿宋_GB2312"/>
                <w:b/>
                <w:bCs/>
                <w:kern w:val="0"/>
              </w:rPr>
              <w:t>开设学期（周课时）</w:t>
            </w:r>
          </w:p>
        </w:tc>
        <w:tc>
          <w:tcPr>
            <w:tcW w:w="810" w:type="dxa"/>
            <w:vMerge w:val="restart"/>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考核</w:t>
            </w:r>
          </w:p>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方式</w:t>
            </w:r>
          </w:p>
        </w:tc>
        <w:tc>
          <w:tcPr>
            <w:tcW w:w="528" w:type="dxa"/>
            <w:vMerge w:val="restart"/>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学时</w:t>
            </w:r>
          </w:p>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667"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1855" w:type="dxa"/>
            <w:gridSpan w:val="2"/>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1069"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604"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b/>
                <w:bCs/>
                <w:kern w:val="0"/>
              </w:rPr>
            </w:pPr>
          </w:p>
        </w:tc>
        <w:tc>
          <w:tcPr>
            <w:tcW w:w="73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556"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1</w:t>
            </w:r>
          </w:p>
        </w:tc>
        <w:tc>
          <w:tcPr>
            <w:tcW w:w="557"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2</w:t>
            </w:r>
          </w:p>
        </w:tc>
        <w:tc>
          <w:tcPr>
            <w:tcW w:w="556"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3</w:t>
            </w:r>
          </w:p>
        </w:tc>
        <w:tc>
          <w:tcPr>
            <w:tcW w:w="557"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4</w:t>
            </w:r>
          </w:p>
        </w:tc>
        <w:tc>
          <w:tcPr>
            <w:tcW w:w="556"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5</w:t>
            </w:r>
          </w:p>
        </w:tc>
        <w:tc>
          <w:tcPr>
            <w:tcW w:w="557"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6</w:t>
            </w:r>
          </w:p>
        </w:tc>
        <w:tc>
          <w:tcPr>
            <w:tcW w:w="810"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restart"/>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公共</w:t>
            </w:r>
          </w:p>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基础</w:t>
            </w:r>
          </w:p>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w:t>
            </w: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中国特色社会主义</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010101</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restart"/>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ascii="仿宋_GB2312" w:hAnsi="宋体" w:eastAsia="仿宋_GB2312"/>
                <w:b/>
                <w:bCs/>
                <w:kern w:val="0"/>
              </w:rPr>
              <w:t>50</w:t>
            </w:r>
            <w:r>
              <w:rPr>
                <w:rFonts w:hint="eastAsia" w:ascii="仿宋_GB2312" w:hAnsi="宋体" w:eastAsia="仿宋_GB2312"/>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心理健康与职业生涯</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010102</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哲学与人生</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010103</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职业道德与法治</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010104</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语文</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010105</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18</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324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w:t>
            </w: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英语</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010106</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18</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324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w:t>
            </w: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数学</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010107</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18</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324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w:t>
            </w: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物理</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000000"/>
                <w:kern w:val="0"/>
              </w:rPr>
            </w:pPr>
            <w:r>
              <w:rPr>
                <w:rFonts w:hint="eastAsia" w:ascii="仿宋_GB2312" w:hAnsi="宋体" w:eastAsia="仿宋_GB2312"/>
                <w:color w:val="000000"/>
                <w:kern w:val="0"/>
              </w:rPr>
              <w:t>010108</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000000"/>
                <w:kern w:val="0"/>
              </w:rPr>
            </w:pPr>
            <w:r>
              <w:rPr>
                <w:rFonts w:hint="eastAsia" w:ascii="仿宋_GB2312" w:hAnsi="宋体" w:eastAsia="仿宋_GB2312"/>
                <w:color w:val="000000"/>
                <w:kern w:val="0"/>
              </w:rPr>
              <w:t>7</w:t>
            </w:r>
            <w:r>
              <w:rPr>
                <w:rFonts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r>
              <w:rPr>
                <w:rFonts w:hint="eastAsia"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化学</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000000"/>
                <w:kern w:val="0"/>
              </w:rPr>
            </w:pPr>
            <w:r>
              <w:rPr>
                <w:rFonts w:hint="eastAsia" w:ascii="仿宋_GB2312" w:hAnsi="宋体" w:eastAsia="仿宋_GB2312"/>
                <w:color w:val="000000"/>
                <w:kern w:val="0"/>
              </w:rPr>
              <w:t>010109</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000000"/>
                <w:kern w:val="0"/>
              </w:rPr>
            </w:pPr>
            <w:r>
              <w:rPr>
                <w:rFonts w:hint="eastAsia" w:ascii="仿宋_GB2312" w:hAnsi="宋体" w:eastAsia="仿宋_GB2312"/>
                <w:color w:val="000000"/>
                <w:kern w:val="0"/>
              </w:rPr>
              <w:t>7</w:t>
            </w:r>
            <w:r>
              <w:rPr>
                <w:rFonts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r>
              <w:rPr>
                <w:rFonts w:hint="eastAsia"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历史</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010110</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72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信息技术</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010111</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r>
              <w:rPr>
                <w:rFonts w:hint="eastAsia" w:ascii="仿宋_GB2312" w:hAnsi="宋体" w:eastAsia="仿宋_GB2312"/>
                <w:kern w:val="0"/>
              </w:rPr>
              <w:t>6</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FF0000"/>
                <w:kern w:val="0"/>
              </w:rPr>
            </w:pPr>
            <w:r>
              <w:rPr>
                <w:rFonts w:hint="eastAsia" w:ascii="仿宋_GB2312" w:hAnsi="宋体" w:eastAsia="仿宋_GB2312"/>
                <w:color w:val="000000"/>
                <w:kern w:val="0"/>
              </w:rPr>
              <w:t>108</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r>
              <w:rPr>
                <w:rFonts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r>
              <w:rPr>
                <w:rFonts w:ascii="仿宋_GB2312" w:hAnsi="宋体" w:eastAsia="仿宋_GB2312"/>
                <w:color w:val="000000"/>
                <w:kern w:val="0"/>
              </w:rPr>
              <w:t>3</w:t>
            </w: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机考</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体育与健康</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010112</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216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艺术</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010113</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1</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班团健安</w:t>
            </w:r>
          </w:p>
        </w:tc>
        <w:tc>
          <w:tcPr>
            <w:tcW w:w="1069" w:type="dxa"/>
            <w:shd w:val="clear" w:color="auto" w:fill="auto"/>
            <w:vAlign w:val="center"/>
          </w:tcPr>
          <w:p>
            <w:pPr>
              <w:widowControl/>
              <w:adjustRightInd w:val="0"/>
              <w:snapToGrid w:val="0"/>
              <w:spacing w:beforeLines="0" w:after="0" w:afterAutospacing="0" w:line="240" w:lineRule="auto"/>
              <w:ind w:firstLine="0" w:firstLineChars="0"/>
              <w:jc w:val="left"/>
              <w:rPr>
                <w:rFonts w:ascii="仿宋_GB2312" w:hAnsi="宋体" w:eastAsia="仿宋_GB2312"/>
                <w:kern w:val="0"/>
              </w:rPr>
            </w:pPr>
            <w:r>
              <w:rPr>
                <w:rFonts w:hint="eastAsia" w:ascii="仿宋_GB2312" w:hAnsi="宋体" w:eastAsia="仿宋_GB2312"/>
                <w:kern w:val="0"/>
              </w:rPr>
              <w:t>0</w:t>
            </w:r>
            <w:r>
              <w:rPr>
                <w:rFonts w:ascii="仿宋_GB2312" w:hAnsi="宋体" w:eastAsia="仿宋_GB2312"/>
                <w:kern w:val="0"/>
              </w:rPr>
              <w:t>10114</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p>
        </w:tc>
        <w:tc>
          <w:tcPr>
            <w:tcW w:w="731"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劳动专题教育</w:t>
            </w:r>
          </w:p>
        </w:tc>
        <w:tc>
          <w:tcPr>
            <w:tcW w:w="1069" w:type="dxa"/>
            <w:shd w:val="clear" w:color="auto" w:fill="auto"/>
            <w:vAlign w:val="center"/>
          </w:tcPr>
          <w:p>
            <w:pPr>
              <w:widowControl/>
              <w:adjustRightInd w:val="0"/>
              <w:snapToGrid w:val="0"/>
              <w:spacing w:beforeLines="0" w:after="0" w:afterAutospacing="0" w:line="240" w:lineRule="auto"/>
              <w:ind w:firstLine="0" w:firstLineChars="0"/>
              <w:jc w:val="left"/>
              <w:rPr>
                <w:rFonts w:ascii="仿宋_GB2312" w:hAnsi="宋体" w:eastAsia="仿宋_GB2312"/>
                <w:kern w:val="0"/>
              </w:rPr>
            </w:pPr>
            <w:r>
              <w:rPr>
                <w:rFonts w:hint="eastAsia" w:ascii="仿宋_GB2312" w:hAnsi="宋体" w:eastAsia="仿宋_GB2312"/>
                <w:kern w:val="0"/>
              </w:rPr>
              <w:t>0</w:t>
            </w:r>
            <w:r>
              <w:rPr>
                <w:rFonts w:ascii="仿宋_GB2312" w:hAnsi="宋体" w:eastAsia="仿宋_GB2312"/>
                <w:kern w:val="0"/>
              </w:rPr>
              <w:t>10115</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216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r>
              <w:rPr>
                <w:rFonts w:hint="eastAsia" w:ascii="仿宋_GB2312" w:hAnsi="宋体" w:eastAsia="仿宋_GB2312"/>
                <w:kern w:val="0"/>
              </w:rPr>
              <w:t>2</w:t>
            </w: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3591" w:type="dxa"/>
            <w:gridSpan w:val="4"/>
            <w:shd w:val="clear" w:color="auto" w:fill="auto"/>
            <w:vAlign w:val="center"/>
          </w:tcPr>
          <w:p>
            <w:pPr>
              <w:adjustRightInd w:val="0"/>
              <w:snapToGrid w:val="0"/>
              <w:spacing w:before="163" w:after="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合  计</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仿宋_GB2312" w:hAnsi="宋体" w:eastAsia="仿宋_GB2312"/>
                <w:b/>
                <w:bCs/>
                <w:kern w:val="0"/>
              </w:rPr>
              <w:t>106</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ascii="仿宋_GB2312" w:hAnsi="宋体" w:eastAsia="仿宋_GB2312"/>
                <w:b/>
                <w:bCs/>
                <w:color w:val="000000"/>
                <w:kern w:val="0"/>
              </w:rPr>
              <w:t>1908</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仿宋_GB2312" w:hAnsi="宋体" w:eastAsia="仿宋_GB2312"/>
                <w:b/>
                <w:bCs/>
                <w:kern w:val="0"/>
              </w:rPr>
              <w:t>19</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19</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仿宋_GB2312" w:hAnsi="宋体" w:eastAsia="仿宋_GB2312"/>
                <w:b/>
                <w:bCs/>
                <w:kern w:val="0"/>
              </w:rPr>
              <w:t>19</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仿宋_GB2312" w:hAnsi="宋体" w:eastAsia="仿宋_GB2312"/>
                <w:b/>
                <w:bCs/>
                <w:kern w:val="0"/>
              </w:rPr>
              <w:t>19</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13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13</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color w:val="FF0000"/>
                <w:kern w:val="0"/>
                <w:shd w:val="clear" w:color="auto" w:fill="D9D9D9"/>
              </w:rPr>
            </w:pPr>
            <w:r>
              <w:rPr>
                <w:rFonts w:hint="eastAsia" w:ascii="仿宋_GB2312" w:hAnsi="宋体" w:eastAsia="仿宋_GB2312"/>
                <w:kern w:val="0"/>
              </w:rPr>
              <w:t>-</w:t>
            </w:r>
            <w:r>
              <w:rPr>
                <w:rFonts w:ascii="仿宋_GB2312" w:hAnsi="宋体" w:eastAsia="仿宋_GB2312"/>
                <w:kern w:val="0"/>
              </w:rPr>
              <w:t>-</w:t>
            </w:r>
            <w:r>
              <w:rPr>
                <w:rFonts w:hint="eastAsia" w:ascii="仿宋_GB2312" w:hAnsi="宋体" w:eastAsia="仿宋_GB2312"/>
                <w:kern w:val="0"/>
              </w:rPr>
              <w:t>-</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restart"/>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专业核心课程</w:t>
            </w: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机械制图</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10201</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528" w:type="dxa"/>
            <w:vMerge w:val="restart"/>
            <w:shd w:val="clear" w:color="auto" w:fill="auto"/>
            <w:vAlign w:val="center"/>
          </w:tcPr>
          <w:p>
            <w:pPr>
              <w:widowControl/>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3</w:t>
            </w:r>
            <w:r>
              <w:rPr>
                <w:rFonts w:ascii="仿宋_GB2312" w:hAnsi="宋体" w:eastAsia="仿宋_GB2312"/>
                <w:b/>
                <w:bCs/>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机械基础</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10202</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极限配合与技术测量</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10203</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CAD/CAM软件应用</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10204</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数控车削加工工艺与编程</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10205</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数控铣削加工工艺与编程</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10206</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restart"/>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专业技能课程</w:t>
            </w:r>
          </w:p>
          <w:p>
            <w:pPr>
              <w:spacing w:before="163" w:after="0" w:line="240" w:lineRule="auto"/>
              <w:ind w:firstLine="480"/>
              <w:jc w:val="center"/>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钳工工艺</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10207</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spacing w:before="163" w:after="0" w:line="240" w:lineRule="auto"/>
              <w:ind w:firstLine="480"/>
              <w:jc w:val="center"/>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车工工艺</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10208</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数控车削技术训练</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10209</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6</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108</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数控铣削技术训练</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10210</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4</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机械制造工艺基础</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10211</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数控机床机械装调与维修</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10212</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数控机床电气控制技术</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10213</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UG软件应用</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10214</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10</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180</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189" w:type="dxa"/>
            <w:gridSpan w:val="5"/>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仿宋" w:hAnsi="仿宋" w:eastAsia="仿宋"/>
                <w:b/>
                <w:color w:val="000000"/>
              </w:rPr>
              <w:t>合计</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等线" w:hAnsi="等线" w:eastAsia="等线"/>
                <w:b/>
                <w:color w:val="000000"/>
                <w:sz w:val="22"/>
                <w:szCs w:val="22"/>
              </w:rPr>
              <w:t>82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
                <w:color w:val="000000"/>
              </w:rPr>
            </w:pPr>
            <w:r>
              <w:rPr>
                <w:rFonts w:hint="eastAsia" w:ascii="等线" w:hAnsi="等线" w:eastAsia="等线"/>
                <w:b/>
                <w:color w:val="000000"/>
                <w:sz w:val="22"/>
                <w:szCs w:val="22"/>
              </w:rPr>
              <w:t>1476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bCs/>
                <w:color w:val="000000"/>
              </w:rPr>
            </w:pPr>
            <w:r>
              <w:rPr>
                <w:rFonts w:hint="eastAsia" w:ascii="等线" w:hAnsi="等线" w:eastAsia="等线"/>
                <w:b/>
                <w:color w:val="000000"/>
                <w:sz w:val="22"/>
                <w:szCs w:val="22"/>
              </w:rPr>
              <w:t>14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bCs/>
                <w:color w:val="000000"/>
              </w:rPr>
            </w:pPr>
            <w:r>
              <w:rPr>
                <w:rFonts w:hint="eastAsia" w:ascii="等线" w:hAnsi="等线" w:eastAsia="等线"/>
                <w:b/>
                <w:color w:val="000000"/>
                <w:sz w:val="22"/>
                <w:szCs w:val="22"/>
              </w:rPr>
              <w:t>16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bCs/>
                <w:color w:val="000000"/>
              </w:rPr>
            </w:pPr>
            <w:r>
              <w:rPr>
                <w:rFonts w:hint="eastAsia" w:ascii="等线" w:hAnsi="等线" w:eastAsia="等线"/>
                <w:b/>
                <w:color w:val="000000"/>
                <w:sz w:val="22"/>
                <w:szCs w:val="22"/>
              </w:rPr>
              <w:t>14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ascii="等线" w:hAnsi="等线" w:eastAsia="等线"/>
                <w:b/>
                <w:color w:val="000000"/>
                <w:sz w:val="22"/>
                <w:szCs w:val="22"/>
              </w:rPr>
              <w:t>16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等线" w:hAnsi="等线" w:eastAsia="等线"/>
                <w:b/>
                <w:color w:val="000000"/>
                <w:sz w:val="22"/>
                <w:szCs w:val="22"/>
              </w:rPr>
              <w:t>14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等线" w:hAnsi="等线" w:eastAsia="等线"/>
                <w:b/>
                <w:color w:val="000000"/>
                <w:sz w:val="22"/>
                <w:szCs w:val="22"/>
              </w:rPr>
              <w:t>8</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ascii="仿宋_GB2312" w:hAnsi="宋体" w:eastAsia="仿宋_GB2312"/>
                <w:b/>
                <w:kern w:val="0"/>
              </w:rPr>
              <w:t>-</w:t>
            </w:r>
            <w:r>
              <w:rPr>
                <w:rFonts w:hint="eastAsia" w:ascii="仿宋_GB2312" w:hAnsi="宋体" w:eastAsia="仿宋_GB2312"/>
                <w:b/>
                <w:kern w:val="0"/>
              </w:rPr>
              <w:t>-</w:t>
            </w:r>
            <w:r>
              <w:rPr>
                <w:rFonts w:ascii="仿宋_GB2312" w:hAnsi="宋体" w:eastAsia="仿宋_GB2312"/>
                <w:b/>
                <w:kern w:val="0"/>
              </w:rPr>
              <w:t>-</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8" w:type="dxa"/>
            <w:vMerge w:val="restart"/>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r>
              <w:rPr>
                <w:rFonts w:hint="eastAsia" w:ascii="仿宋_GB2312" w:hAnsi="宋体" w:eastAsia="仿宋_GB2312"/>
                <w:kern w:val="0"/>
              </w:rPr>
              <w:t>专业选修</w:t>
            </w:r>
          </w:p>
          <w:p>
            <w:pPr>
              <w:spacing w:before="163" w:after="0" w:line="240" w:lineRule="auto"/>
              <w:ind w:firstLine="48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现代制造技术</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10301</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restart"/>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r>
              <w:rPr>
                <w:rFonts w:hint="eastAsia" w:ascii="仿宋_GB2312" w:hAnsi="宋体" w:eastAsia="仿宋_GB2312"/>
                <w:b/>
                <w:bCs/>
                <w:kern w:val="0"/>
              </w:rPr>
              <w:t>1</w:t>
            </w:r>
            <w:r>
              <w:rPr>
                <w:rFonts w:ascii="仿宋_GB2312" w:hAnsi="宋体" w:eastAsia="仿宋_GB2312"/>
                <w:b/>
                <w:bCs/>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电工电子技术与技能</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10302</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7</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126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3</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营销技术</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10303</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金属加工与实训</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10304</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7</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126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3</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8" w:type="dxa"/>
            <w:vMerge w:val="restart"/>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r>
              <w:rPr>
                <w:rFonts w:hint="eastAsia" w:ascii="仿宋_GB2312" w:hAnsi="宋体" w:eastAsia="仿宋_GB2312"/>
                <w:kern w:val="0"/>
              </w:rPr>
              <w:t>素质选修</w:t>
            </w: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心理健康</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10305</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书法</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10306</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中华优秀传统文化</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10307</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4189" w:type="dxa"/>
            <w:gridSpan w:val="5"/>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hint="eastAsia" w:ascii="仿宋_GB2312" w:hAnsi="宋体" w:eastAsia="仿宋_GB2312"/>
                <w:b/>
                <w:kern w:val="0"/>
              </w:rPr>
              <w:t>合计</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24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color w:val="000000"/>
                <w:kern w:val="0"/>
              </w:rPr>
            </w:pPr>
            <w:r>
              <w:rPr>
                <w:rFonts w:hint="eastAsia" w:ascii="等线" w:hAnsi="等线" w:eastAsia="等线"/>
                <w:b/>
                <w:color w:val="000000"/>
                <w:sz w:val="22"/>
                <w:szCs w:val="22"/>
              </w:rPr>
              <w:t>432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0</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0</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0</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8</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14</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ascii="仿宋_GB2312" w:hAnsi="宋体" w:eastAsia="仿宋_GB2312"/>
                <w:b/>
                <w:kern w:val="0"/>
              </w:rPr>
              <w:t>-</w:t>
            </w:r>
            <w:r>
              <w:rPr>
                <w:rFonts w:hint="eastAsia" w:ascii="仿宋_GB2312" w:hAnsi="宋体" w:eastAsia="仿宋_GB2312"/>
                <w:b/>
                <w:kern w:val="0"/>
              </w:rPr>
              <w:t>-</w:t>
            </w:r>
            <w:r>
              <w:rPr>
                <w:rFonts w:ascii="仿宋_GB2312" w:hAnsi="宋体" w:eastAsia="仿宋_GB2312"/>
                <w:b/>
                <w:kern w:val="0"/>
              </w:rPr>
              <w:t>-</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4189" w:type="dxa"/>
            <w:gridSpan w:val="5"/>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hint="eastAsia" w:ascii="仿宋_GB2312" w:hAnsi="宋体" w:eastAsia="仿宋_GB2312"/>
                <w:b/>
                <w:kern w:val="0"/>
              </w:rPr>
              <w:t>总计</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212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color w:val="000000"/>
                <w:kern w:val="0"/>
              </w:rPr>
            </w:pPr>
            <w:r>
              <w:rPr>
                <w:rFonts w:hint="eastAsia" w:ascii="等线" w:hAnsi="等线" w:eastAsia="等线"/>
                <w:b/>
                <w:color w:val="000000"/>
                <w:sz w:val="22"/>
                <w:szCs w:val="22"/>
              </w:rPr>
              <w:t>3816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等线" w:hAnsi="等线" w:eastAsia="等线"/>
                <w:b/>
                <w:color w:val="000000"/>
                <w:sz w:val="22"/>
                <w:szCs w:val="22"/>
              </w:rPr>
              <w:t>37</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ascii="仿宋_GB2312" w:hAnsi="宋体" w:eastAsia="仿宋_GB2312"/>
                <w:b/>
                <w:kern w:val="0"/>
              </w:rPr>
              <w:t>-</w:t>
            </w:r>
            <w:r>
              <w:rPr>
                <w:rFonts w:hint="eastAsia" w:ascii="仿宋_GB2312" w:hAnsi="宋体" w:eastAsia="仿宋_GB2312"/>
                <w:b/>
                <w:kern w:val="0"/>
              </w:rPr>
              <w:t>-</w:t>
            </w:r>
            <w:r>
              <w:rPr>
                <w:rFonts w:ascii="仿宋_GB2312" w:hAnsi="宋体" w:eastAsia="仿宋_GB2312"/>
                <w:b/>
                <w:kern w:val="0"/>
              </w:rPr>
              <w:t>-</w:t>
            </w:r>
          </w:p>
        </w:tc>
        <w:tc>
          <w:tcPr>
            <w:tcW w:w="528" w:type="dxa"/>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r>
              <w:rPr>
                <w:rFonts w:hint="eastAsia" w:ascii="仿宋_GB2312" w:hAnsi="宋体" w:eastAsia="仿宋_GB2312"/>
                <w:b/>
                <w:bCs/>
                <w:kern w:val="0"/>
              </w:rPr>
              <w:t>1</w:t>
            </w:r>
            <w:r>
              <w:rPr>
                <w:rFonts w:ascii="仿宋_GB2312" w:hAnsi="宋体" w:eastAsia="仿宋_GB2312"/>
                <w:b/>
                <w:bCs/>
                <w:kern w:val="0"/>
              </w:rPr>
              <w:t>00%</w:t>
            </w:r>
          </w:p>
        </w:tc>
      </w:tr>
    </w:tbl>
    <w:p>
      <w:pPr>
        <w:spacing w:beforeLines="0" w:after="0" w:afterAutospacing="0" w:line="240" w:lineRule="auto"/>
        <w:ind w:firstLine="0" w:firstLineChars="0"/>
        <w:rPr>
          <w:rFonts w:ascii="仿宋_GB2312" w:eastAsia="仿宋_GB2312"/>
        </w:rPr>
      </w:pPr>
      <w:bookmarkStart w:id="47" w:name="_Toc16356575"/>
      <w:r>
        <w:rPr>
          <w:rFonts w:hint="eastAsia" w:ascii="仿宋_GB2312" w:hAnsi="宋体" w:eastAsia="仿宋_GB2312"/>
        </w:rPr>
        <w:t>备注：</w:t>
      </w:r>
      <w:bookmarkEnd w:id="47"/>
    </w:p>
    <w:p>
      <w:pPr>
        <w:spacing w:beforeLines="0" w:after="0" w:afterAutospacing="0" w:line="240" w:lineRule="auto"/>
        <w:ind w:firstLine="480"/>
        <w:rPr>
          <w:rFonts w:ascii="仿宋_GB2312" w:eastAsia="仿宋_GB2312"/>
        </w:rPr>
      </w:pPr>
      <w:bookmarkStart w:id="48" w:name="_Hlk67864049"/>
      <w:bookmarkEnd w:id="48"/>
      <w:r>
        <w:rPr>
          <w:rFonts w:hint="eastAsia" w:ascii="仿宋_GB2312" w:eastAsia="仿宋_GB2312"/>
        </w:rPr>
        <w:t>1.</w:t>
      </w:r>
      <w:r>
        <w:rPr>
          <w:rFonts w:hint="eastAsia" w:ascii="仿宋_GB2312" w:hAnsi="宋体" w:eastAsia="仿宋_GB2312"/>
        </w:rPr>
        <w:t>军训、入学教育以及每学期的考试周次，均不计入本计划，每学年按照</w:t>
      </w:r>
      <w:r>
        <w:rPr>
          <w:rFonts w:hint="eastAsia" w:ascii="仿宋_GB2312" w:eastAsia="仿宋_GB2312"/>
        </w:rPr>
        <w:t>40</w:t>
      </w:r>
      <w:r>
        <w:rPr>
          <w:rFonts w:hint="eastAsia" w:ascii="仿宋_GB2312" w:hAnsi="宋体" w:eastAsia="仿宋_GB2312"/>
        </w:rPr>
        <w:t>周、每周按照</w:t>
      </w:r>
      <w:r>
        <w:rPr>
          <w:rFonts w:hint="eastAsia" w:ascii="仿宋_GB2312" w:eastAsia="仿宋_GB2312"/>
        </w:rPr>
        <w:t>40</w:t>
      </w:r>
      <w:r>
        <w:rPr>
          <w:rFonts w:hint="eastAsia" w:ascii="仿宋_GB2312" w:hAnsi="宋体" w:eastAsia="仿宋_GB2312"/>
        </w:rPr>
        <w:t>学时进行教学计划的编制。学年实际教学活动周数为</w:t>
      </w:r>
      <w:r>
        <w:rPr>
          <w:rFonts w:hint="eastAsia" w:ascii="仿宋_GB2312" w:eastAsia="仿宋_GB2312"/>
        </w:rPr>
        <w:t>40</w:t>
      </w:r>
      <w:r>
        <w:rPr>
          <w:rFonts w:hint="eastAsia" w:ascii="仿宋_GB2312" w:hAnsi="宋体" w:eastAsia="仿宋_GB2312"/>
        </w:rPr>
        <w:t>周。</w:t>
      </w:r>
    </w:p>
    <w:p>
      <w:pPr>
        <w:spacing w:beforeLines="0" w:after="0" w:afterAutospacing="0" w:line="240" w:lineRule="auto"/>
        <w:ind w:firstLine="480"/>
        <w:rPr>
          <w:rFonts w:ascii="仿宋" w:hAnsi="仿宋" w:eastAsia="仿宋" w:cs="宋体"/>
          <w:kern w:val="0"/>
        </w:rPr>
      </w:pPr>
      <w:r>
        <w:rPr>
          <w:rFonts w:hint="eastAsia" w:ascii="仿宋_GB2312" w:eastAsia="仿宋_GB2312"/>
        </w:rPr>
        <w:t>2.</w:t>
      </w:r>
      <w:r>
        <w:rPr>
          <w:rFonts w:hint="eastAsia" w:ascii="仿宋_GB2312" w:hAnsi="宋体" w:eastAsia="仿宋_GB2312"/>
        </w:rPr>
        <w:t>“课程代码”：</w:t>
      </w:r>
      <w:r>
        <w:rPr>
          <w:rFonts w:hint="eastAsia" w:ascii="仿宋_GB2312" w:eastAsia="仿宋_GB2312"/>
        </w:rPr>
        <w:t>1</w:t>
      </w:r>
      <w:r>
        <w:rPr>
          <w:rFonts w:hint="eastAsia" w:ascii="仿宋_GB2312" w:hAnsi="宋体" w:eastAsia="仿宋_GB2312"/>
        </w:rPr>
        <w:t>、</w:t>
      </w:r>
      <w:r>
        <w:rPr>
          <w:rFonts w:hint="eastAsia" w:ascii="仿宋_GB2312" w:eastAsia="仿宋_GB2312"/>
        </w:rPr>
        <w:t>2</w:t>
      </w:r>
      <w:r>
        <w:rPr>
          <w:rFonts w:hint="eastAsia" w:ascii="仿宋_GB2312" w:hAnsi="宋体" w:eastAsia="仿宋_GB2312"/>
        </w:rPr>
        <w:t>位代表专业顺序，</w:t>
      </w:r>
      <w:r>
        <w:rPr>
          <w:rFonts w:hint="eastAsia" w:ascii="仿宋_GB2312" w:eastAsia="仿宋_GB2312"/>
        </w:rPr>
        <w:t>3</w:t>
      </w:r>
      <w:r>
        <w:rPr>
          <w:rFonts w:hint="eastAsia" w:ascii="仿宋_GB2312" w:hAnsi="宋体" w:eastAsia="仿宋_GB2312"/>
        </w:rPr>
        <w:t>、</w:t>
      </w:r>
      <w:r>
        <w:rPr>
          <w:rFonts w:hint="eastAsia" w:ascii="仿宋_GB2312" w:eastAsia="仿宋_GB2312"/>
        </w:rPr>
        <w:t>4</w:t>
      </w:r>
      <w:r>
        <w:rPr>
          <w:rFonts w:hint="eastAsia" w:ascii="仿宋_GB2312" w:hAnsi="宋体" w:eastAsia="仿宋_GB2312"/>
        </w:rPr>
        <w:t>位代表课程类别码（分为</w:t>
      </w:r>
      <w:r>
        <w:rPr>
          <w:rFonts w:hint="eastAsia" w:ascii="仿宋_GB2312" w:eastAsia="仿宋_GB2312"/>
        </w:rPr>
        <w:t>01</w:t>
      </w:r>
      <w:r>
        <w:rPr>
          <w:rFonts w:hint="eastAsia" w:ascii="仿宋_GB2312" w:hAnsi="宋体" w:eastAsia="仿宋_GB2312"/>
        </w:rPr>
        <w:t>公共基础课、</w:t>
      </w:r>
      <w:r>
        <w:rPr>
          <w:rFonts w:hint="eastAsia" w:ascii="仿宋_GB2312" w:eastAsia="仿宋_GB2312"/>
        </w:rPr>
        <w:t>02</w:t>
      </w:r>
      <w:r>
        <w:rPr>
          <w:rFonts w:hint="eastAsia" w:ascii="仿宋_GB2312" w:hAnsi="宋体" w:eastAsia="仿宋_GB2312"/>
        </w:rPr>
        <w:t>专业技能课、</w:t>
      </w:r>
      <w:r>
        <w:rPr>
          <w:rFonts w:hint="eastAsia" w:ascii="仿宋_GB2312" w:eastAsia="仿宋_GB2312"/>
        </w:rPr>
        <w:t>03</w:t>
      </w:r>
      <w:r>
        <w:rPr>
          <w:rFonts w:hint="eastAsia" w:ascii="仿宋_GB2312" w:hAnsi="宋体" w:eastAsia="仿宋_GB2312"/>
        </w:rPr>
        <w:t>选修课），</w:t>
      </w:r>
      <w:r>
        <w:rPr>
          <w:rFonts w:hint="eastAsia" w:ascii="仿宋_GB2312" w:eastAsia="仿宋_GB2312"/>
        </w:rPr>
        <w:t>5</w:t>
      </w:r>
      <w:r>
        <w:rPr>
          <w:rFonts w:hint="eastAsia" w:ascii="仿宋_GB2312" w:hAnsi="宋体" w:eastAsia="仿宋_GB2312"/>
        </w:rPr>
        <w:t>、</w:t>
      </w:r>
      <w:r>
        <w:rPr>
          <w:rFonts w:hint="eastAsia" w:ascii="仿宋_GB2312" w:eastAsia="仿宋_GB2312"/>
        </w:rPr>
        <w:t>6</w:t>
      </w:r>
      <w:r>
        <w:rPr>
          <w:rFonts w:hint="eastAsia" w:ascii="仿宋_GB2312" w:hAnsi="宋体" w:eastAsia="仿宋_GB2312"/>
        </w:rPr>
        <w:t>位为课程顺序码。</w:t>
      </w:r>
    </w:p>
    <w:p>
      <w:pPr>
        <w:pStyle w:val="33"/>
      </w:pPr>
      <w:bookmarkStart w:id="49" w:name="_Toc135351550"/>
      <w:r>
        <w:rPr>
          <w:rFonts w:hint="eastAsia"/>
        </w:rPr>
        <w:t>八、实施保障</w:t>
      </w:r>
      <w:bookmarkEnd w:id="49"/>
    </w:p>
    <w:p>
      <w:pPr>
        <w:pStyle w:val="3"/>
        <w:spacing w:before="326" w:after="163" w:line="240" w:lineRule="auto"/>
        <w:ind w:firstLine="482"/>
      </w:pPr>
      <w:bookmarkStart w:id="50" w:name="_Toc433961921"/>
      <w:bookmarkStart w:id="51" w:name="_Toc16356576"/>
      <w:bookmarkStart w:id="52" w:name="_Toc17216703"/>
      <w:bookmarkStart w:id="53" w:name="_Toc135351551"/>
      <w:r>
        <w:rPr>
          <w:rFonts w:hint="eastAsia"/>
        </w:rPr>
        <w:t>（一）师资队伍</w:t>
      </w:r>
      <w:bookmarkEnd w:id="50"/>
      <w:bookmarkEnd w:id="51"/>
      <w:bookmarkEnd w:id="52"/>
      <w:bookmarkEnd w:id="53"/>
    </w:p>
    <w:p>
      <w:pPr>
        <w:pStyle w:val="19"/>
        <w:spacing w:before="0" w:beforeLines="0" w:line="240" w:lineRule="auto"/>
        <w:ind w:firstLine="480"/>
        <w:rPr>
          <w:rFonts w:ascii="仿宋" w:hAnsi="仿宋" w:eastAsia="仿宋"/>
          <w:szCs w:val="24"/>
        </w:rPr>
      </w:pPr>
      <w:r>
        <w:rPr>
          <w:rFonts w:hint="eastAsia" w:ascii="仿宋" w:hAnsi="仿宋" w:eastAsia="仿宋"/>
          <w:szCs w:val="24"/>
        </w:rPr>
        <w:t>1.本专业师资队伍应具有良好的师德师风，具有集体观念和团队意识，具有健康体魄、积极向上的良好心态和合作精神；</w:t>
      </w:r>
    </w:p>
    <w:p>
      <w:pPr>
        <w:pStyle w:val="19"/>
        <w:spacing w:before="0" w:beforeLines="0" w:line="240" w:lineRule="auto"/>
        <w:ind w:firstLine="480"/>
        <w:rPr>
          <w:rFonts w:ascii="仿宋" w:hAnsi="仿宋" w:eastAsia="仿宋"/>
          <w:szCs w:val="24"/>
        </w:rPr>
      </w:pPr>
      <w:r>
        <w:rPr>
          <w:rFonts w:hint="eastAsia" w:ascii="仿宋" w:hAnsi="仿宋" w:eastAsia="仿宋"/>
          <w:szCs w:val="24"/>
        </w:rPr>
        <w:t>2.本专业师资队伍应树立“能力本位”的职业教育理念，在教学实践中应着力提高学生的职业能力和职业素养；</w:t>
      </w:r>
    </w:p>
    <w:p>
      <w:pPr>
        <w:pStyle w:val="19"/>
        <w:spacing w:before="0" w:beforeLines="0" w:line="240" w:lineRule="auto"/>
        <w:ind w:firstLine="480"/>
        <w:rPr>
          <w:rFonts w:ascii="仿宋" w:hAnsi="仿宋" w:eastAsia="仿宋"/>
          <w:szCs w:val="24"/>
        </w:rPr>
      </w:pPr>
      <w:r>
        <w:rPr>
          <w:rFonts w:hint="eastAsia" w:ascii="仿宋" w:hAnsi="仿宋" w:eastAsia="仿宋"/>
          <w:szCs w:val="24"/>
        </w:rPr>
        <w:t>3.具备本专业扎实的专业基础知识和宽广的相关学科知识，具有独立开展教科研的能力，掌握现代化科学手段和教育信息技术；专职教师必须具有大学专科及以上学历，双师素质达到70%，每年选派专职教师参与企业实践锻炼；聘请行业专家参与专业建设和实践教学。</w:t>
      </w:r>
    </w:p>
    <w:p>
      <w:pPr>
        <w:pStyle w:val="3"/>
        <w:spacing w:before="326" w:after="163" w:line="240" w:lineRule="auto"/>
        <w:ind w:firstLine="482"/>
      </w:pPr>
      <w:bookmarkStart w:id="54" w:name="_Toc433961922"/>
      <w:bookmarkStart w:id="55" w:name="_Toc16356577"/>
      <w:bookmarkStart w:id="56" w:name="_Toc17216704"/>
      <w:bookmarkStart w:id="57" w:name="_Toc135351552"/>
      <w:r>
        <w:rPr>
          <w:rFonts w:hint="eastAsia"/>
        </w:rPr>
        <w:t>（二）</w:t>
      </w:r>
      <w:bookmarkEnd w:id="54"/>
      <w:r>
        <w:rPr>
          <w:rFonts w:hint="eastAsia"/>
        </w:rPr>
        <w:t>教学设施</w:t>
      </w:r>
      <w:bookmarkEnd w:id="55"/>
      <w:bookmarkEnd w:id="56"/>
      <w:bookmarkEnd w:id="57"/>
    </w:p>
    <w:p>
      <w:pPr>
        <w:pStyle w:val="19"/>
        <w:spacing w:before="0" w:beforeLines="0" w:line="240" w:lineRule="auto"/>
        <w:ind w:firstLine="480"/>
        <w:rPr>
          <w:rFonts w:ascii="仿宋" w:hAnsi="仿宋" w:eastAsia="仿宋"/>
          <w:szCs w:val="24"/>
        </w:rPr>
      </w:pPr>
      <w:r>
        <w:rPr>
          <w:rFonts w:hint="eastAsia" w:ascii="仿宋" w:hAnsi="仿宋" w:eastAsia="仿宋"/>
          <w:szCs w:val="24"/>
        </w:rPr>
        <w:t>为保障教学和实训，本专业应配备校内实训实习室和校外实训基地。</w:t>
      </w:r>
    </w:p>
    <w:p>
      <w:pPr>
        <w:pStyle w:val="23"/>
        <w:spacing w:beforeLines="0" w:line="240" w:lineRule="auto"/>
        <w:ind w:firstLineChars="0"/>
        <w:rPr>
          <w:rFonts w:ascii="仿宋" w:hAnsi="仿宋" w:eastAsia="仿宋"/>
          <w:sz w:val="24"/>
          <w:szCs w:val="24"/>
        </w:rPr>
      </w:pPr>
      <w:r>
        <w:rPr>
          <w:rFonts w:hint="eastAsia" w:ascii="仿宋" w:hAnsi="仿宋" w:eastAsia="仿宋"/>
          <w:sz w:val="24"/>
          <w:szCs w:val="24"/>
        </w:rPr>
        <w:t>1、校内实训室</w:t>
      </w:r>
    </w:p>
    <w:p>
      <w:pPr>
        <w:pStyle w:val="23"/>
        <w:spacing w:beforeLines="0" w:line="240" w:lineRule="auto"/>
        <w:ind w:firstLineChars="0"/>
        <w:rPr>
          <w:rFonts w:ascii="仿宋" w:hAnsi="仿宋" w:eastAsia="仿宋"/>
          <w:b w:val="0"/>
          <w:sz w:val="24"/>
          <w:szCs w:val="24"/>
        </w:rPr>
      </w:pPr>
      <w:r>
        <w:rPr>
          <w:rFonts w:hint="eastAsia" w:ascii="仿宋" w:hAnsi="仿宋" w:eastAsia="仿宋"/>
          <w:b w:val="0"/>
          <w:sz w:val="24"/>
          <w:szCs w:val="24"/>
        </w:rPr>
        <w:t>校内实习具备计算机实训室、</w:t>
      </w:r>
      <w:r>
        <w:rPr>
          <w:rFonts w:ascii="仿宋" w:hAnsi="仿宋" w:eastAsia="仿宋"/>
          <w:b w:val="0"/>
          <w:sz w:val="24"/>
          <w:szCs w:val="24"/>
        </w:rPr>
        <w:t>CAD/CAM</w:t>
      </w:r>
      <w:r>
        <w:rPr>
          <w:rFonts w:hint="eastAsia" w:ascii="仿宋" w:hAnsi="仿宋" w:eastAsia="仿宋"/>
          <w:b w:val="0"/>
          <w:sz w:val="24"/>
          <w:szCs w:val="24"/>
        </w:rPr>
        <w:t>实训室、数控加工实训室等实训室，主要设施设备及数量情况</w:t>
      </w:r>
    </w:p>
    <w:p>
      <w:pPr>
        <w:adjustRightInd w:val="0"/>
        <w:snapToGrid w:val="0"/>
        <w:spacing w:beforeLines="0" w:after="0" w:afterAutospacing="0" w:line="240" w:lineRule="auto"/>
        <w:ind w:firstLine="480"/>
        <w:jc w:val="center"/>
        <w:rPr>
          <w:rFonts w:ascii="仿宋" w:hAnsi="仿宋" w:eastAsia="仿宋" w:cs="宋体"/>
          <w:kern w:val="0"/>
        </w:rPr>
      </w:pPr>
      <w:r>
        <w:rPr>
          <w:rFonts w:hint="eastAsia" w:ascii="仿宋" w:hAnsi="仿宋" w:eastAsia="仿宋" w:cs="宋体"/>
          <w:kern w:val="0"/>
        </w:rPr>
        <w:t>表</w:t>
      </w:r>
      <w:r>
        <w:rPr>
          <w:rFonts w:hint="eastAsia" w:ascii="仿宋" w:hAnsi="仿宋" w:eastAsia="仿宋" w:cs="宋体"/>
          <w:kern w:val="0"/>
          <w:lang w:val="en-US" w:eastAsia="zh-CN"/>
        </w:rPr>
        <w:t>10</w:t>
      </w:r>
      <w:r>
        <w:rPr>
          <w:rFonts w:hint="eastAsia" w:ascii="仿宋" w:hAnsi="仿宋" w:eastAsia="仿宋" w:cs="宋体"/>
          <w:kern w:val="0"/>
        </w:rPr>
        <w:t>：校内实训实习主要设施设备及数量统计表</w:t>
      </w:r>
    </w:p>
    <w:tbl>
      <w:tblPr>
        <w:tblStyle w:val="12"/>
        <w:tblW w:w="9075" w:type="dxa"/>
        <w:jc w:val="center"/>
        <w:tblLayout w:type="fixed"/>
        <w:tblCellMar>
          <w:top w:w="0" w:type="dxa"/>
          <w:left w:w="28" w:type="dxa"/>
          <w:bottom w:w="0" w:type="dxa"/>
          <w:right w:w="28" w:type="dxa"/>
        </w:tblCellMar>
      </w:tblPr>
      <w:tblGrid>
        <w:gridCol w:w="1020"/>
        <w:gridCol w:w="1934"/>
        <w:gridCol w:w="3371"/>
        <w:gridCol w:w="2750"/>
      </w:tblGrid>
      <w:tr>
        <w:tblPrEx>
          <w:tblCellMar>
            <w:top w:w="0" w:type="dxa"/>
            <w:left w:w="28" w:type="dxa"/>
            <w:bottom w:w="0" w:type="dxa"/>
            <w:right w:w="28" w:type="dxa"/>
          </w:tblCellMar>
        </w:tblPrEx>
        <w:trPr>
          <w:trHeight w:val="454" w:hRule="atLeast"/>
          <w:jc w:val="center"/>
        </w:trPr>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序号</w:t>
            </w:r>
          </w:p>
        </w:tc>
        <w:tc>
          <w:tcPr>
            <w:tcW w:w="1933" w:type="dxa"/>
            <w:vMerge w:val="restart"/>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480"/>
              <w:jc w:val="center"/>
              <w:rPr>
                <w:rFonts w:ascii="仿宋" w:hAnsi="仿宋" w:eastAsia="仿宋" w:cs="宋体"/>
                <w:kern w:val="0"/>
              </w:rPr>
            </w:pPr>
            <w:r>
              <w:rPr>
                <w:rFonts w:hint="eastAsia" w:ascii="仿宋" w:hAnsi="仿宋" w:eastAsia="仿宋" w:cs="宋体"/>
                <w:kern w:val="0"/>
              </w:rPr>
              <w:t>实训室名称</w:t>
            </w:r>
          </w:p>
        </w:tc>
        <w:tc>
          <w:tcPr>
            <w:tcW w:w="6119" w:type="dxa"/>
            <w:gridSpan w:val="2"/>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480"/>
              <w:jc w:val="center"/>
              <w:rPr>
                <w:rFonts w:ascii="仿宋" w:hAnsi="仿宋" w:eastAsia="仿宋" w:cs="宋体"/>
                <w:kern w:val="0"/>
              </w:rPr>
            </w:pPr>
            <w:r>
              <w:rPr>
                <w:rFonts w:hint="eastAsia" w:ascii="仿宋" w:hAnsi="仿宋" w:eastAsia="仿宋" w:cs="宋体"/>
                <w:kern w:val="0"/>
              </w:rPr>
              <w:t>主要工具和设施设备</w:t>
            </w:r>
          </w:p>
        </w:tc>
      </w:tr>
      <w:tr>
        <w:tblPrEx>
          <w:tblCellMar>
            <w:top w:w="0" w:type="dxa"/>
            <w:left w:w="28" w:type="dxa"/>
            <w:bottom w:w="0" w:type="dxa"/>
            <w:right w:w="28" w:type="dxa"/>
          </w:tblCellMar>
        </w:tblPrEx>
        <w:trPr>
          <w:trHeight w:val="454"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p>
        </w:tc>
        <w:tc>
          <w:tcPr>
            <w:tcW w:w="1933" w:type="dxa"/>
            <w:vMerge w:val="continue"/>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p>
        </w:tc>
        <w:tc>
          <w:tcPr>
            <w:tcW w:w="337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名称</w:t>
            </w:r>
          </w:p>
        </w:tc>
        <w:tc>
          <w:tcPr>
            <w:tcW w:w="2749"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数量</w:t>
            </w:r>
          </w:p>
        </w:tc>
      </w:tr>
      <w:tr>
        <w:tblPrEx>
          <w:tblCellMar>
            <w:top w:w="0" w:type="dxa"/>
            <w:left w:w="28" w:type="dxa"/>
            <w:bottom w:w="0" w:type="dxa"/>
            <w:right w:w="28" w:type="dxa"/>
          </w:tblCellMar>
        </w:tblPrEx>
        <w:trPr>
          <w:trHeight w:val="746" w:hRule="atLeast"/>
          <w:jc w:val="center"/>
        </w:trPr>
        <w:tc>
          <w:tcPr>
            <w:tcW w:w="1020" w:type="dxa"/>
            <w:tcBorders>
              <w:top w:val="nil"/>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1</w:t>
            </w:r>
          </w:p>
        </w:tc>
        <w:tc>
          <w:tcPr>
            <w:tcW w:w="1933" w:type="dxa"/>
            <w:tcBorders>
              <w:top w:val="nil"/>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计算机实训室</w:t>
            </w:r>
          </w:p>
        </w:tc>
        <w:tc>
          <w:tcPr>
            <w:tcW w:w="3370" w:type="dxa"/>
            <w:tcBorders>
              <w:top w:val="single" w:color="000000" w:sz="4" w:space="0"/>
              <w:left w:val="nil"/>
              <w:bottom w:val="nil"/>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计算机</w:t>
            </w:r>
          </w:p>
        </w:tc>
        <w:tc>
          <w:tcPr>
            <w:tcW w:w="2749" w:type="dxa"/>
            <w:tcBorders>
              <w:top w:val="single" w:color="000000" w:sz="4" w:space="0"/>
              <w:left w:val="nil"/>
              <w:bottom w:val="nil"/>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300</w:t>
            </w:r>
          </w:p>
        </w:tc>
      </w:tr>
      <w:tr>
        <w:tblPrEx>
          <w:tblCellMar>
            <w:top w:w="0" w:type="dxa"/>
            <w:left w:w="28" w:type="dxa"/>
            <w:bottom w:w="0" w:type="dxa"/>
            <w:right w:w="28" w:type="dxa"/>
          </w:tblCellMar>
        </w:tblPrEx>
        <w:trPr>
          <w:trHeight w:val="454" w:hRule="atLeast"/>
          <w:jc w:val="center"/>
        </w:trPr>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2</w:t>
            </w:r>
          </w:p>
        </w:tc>
        <w:tc>
          <w:tcPr>
            <w:tcW w:w="1933" w:type="dxa"/>
            <w:vMerge w:val="restart"/>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数控实训室</w:t>
            </w:r>
          </w:p>
        </w:tc>
        <w:tc>
          <w:tcPr>
            <w:tcW w:w="337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普车、数车</w:t>
            </w:r>
          </w:p>
        </w:tc>
        <w:tc>
          <w:tcPr>
            <w:tcW w:w="2749"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10</w:t>
            </w:r>
          </w:p>
        </w:tc>
      </w:tr>
      <w:tr>
        <w:tblPrEx>
          <w:tblCellMar>
            <w:top w:w="0" w:type="dxa"/>
            <w:left w:w="28" w:type="dxa"/>
            <w:bottom w:w="0" w:type="dxa"/>
            <w:right w:w="28" w:type="dxa"/>
          </w:tblCellMar>
        </w:tblPrEx>
        <w:trPr>
          <w:trHeight w:val="454"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p>
        </w:tc>
        <w:tc>
          <w:tcPr>
            <w:tcW w:w="1933" w:type="dxa"/>
            <w:vMerge w:val="continue"/>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p>
        </w:tc>
        <w:tc>
          <w:tcPr>
            <w:tcW w:w="337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数铣、加工中心</w:t>
            </w:r>
          </w:p>
        </w:tc>
        <w:tc>
          <w:tcPr>
            <w:tcW w:w="2749"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16</w:t>
            </w:r>
          </w:p>
        </w:tc>
      </w:tr>
      <w:tr>
        <w:tblPrEx>
          <w:tblCellMar>
            <w:top w:w="0" w:type="dxa"/>
            <w:left w:w="28" w:type="dxa"/>
            <w:bottom w:w="0" w:type="dxa"/>
            <w:right w:w="28" w:type="dxa"/>
          </w:tblCellMar>
        </w:tblPrEx>
        <w:trPr>
          <w:trHeight w:val="454"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p>
        </w:tc>
        <w:tc>
          <w:tcPr>
            <w:tcW w:w="1933" w:type="dxa"/>
            <w:vMerge w:val="continue"/>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p>
        </w:tc>
        <w:tc>
          <w:tcPr>
            <w:tcW w:w="337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钻床</w:t>
            </w:r>
          </w:p>
        </w:tc>
        <w:tc>
          <w:tcPr>
            <w:tcW w:w="2749"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2</w:t>
            </w:r>
          </w:p>
        </w:tc>
      </w:tr>
      <w:tr>
        <w:tblPrEx>
          <w:tblCellMar>
            <w:top w:w="0" w:type="dxa"/>
            <w:left w:w="28" w:type="dxa"/>
            <w:bottom w:w="0" w:type="dxa"/>
            <w:right w:w="28" w:type="dxa"/>
          </w:tblCellMar>
        </w:tblPrEx>
        <w:trPr>
          <w:trHeight w:val="454"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p>
        </w:tc>
        <w:tc>
          <w:tcPr>
            <w:tcW w:w="1933" w:type="dxa"/>
            <w:vMerge w:val="continue"/>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p>
        </w:tc>
        <w:tc>
          <w:tcPr>
            <w:tcW w:w="337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线切割、电火花、锯床</w:t>
            </w:r>
          </w:p>
        </w:tc>
        <w:tc>
          <w:tcPr>
            <w:tcW w:w="2749"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3</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3</w:t>
            </w:r>
          </w:p>
        </w:tc>
        <w:tc>
          <w:tcPr>
            <w:tcW w:w="1933"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CAD</w:t>
            </w:r>
            <w:r>
              <w:rPr>
                <w:rFonts w:ascii="仿宋" w:hAnsi="仿宋" w:eastAsia="仿宋" w:cs="宋体"/>
                <w:kern w:val="0"/>
              </w:rPr>
              <w:t>/CAM</w:t>
            </w:r>
            <w:r>
              <w:rPr>
                <w:rFonts w:hint="eastAsia" w:ascii="仿宋" w:hAnsi="仿宋" w:eastAsia="仿宋" w:cs="宋体"/>
                <w:kern w:val="0"/>
              </w:rPr>
              <w:t>实训室</w:t>
            </w:r>
          </w:p>
        </w:tc>
        <w:tc>
          <w:tcPr>
            <w:tcW w:w="337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计算机</w:t>
            </w:r>
          </w:p>
        </w:tc>
        <w:tc>
          <w:tcPr>
            <w:tcW w:w="2749"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6</w:t>
            </w:r>
            <w:r>
              <w:rPr>
                <w:rFonts w:ascii="仿宋" w:hAnsi="仿宋" w:eastAsia="仿宋" w:cs="宋体"/>
                <w:kern w:val="0"/>
              </w:rPr>
              <w:t>0</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ascii="仿宋" w:hAnsi="仿宋" w:eastAsia="仿宋" w:cs="宋体"/>
                <w:kern w:val="0"/>
              </w:rPr>
              <w:t>4</w:t>
            </w:r>
          </w:p>
        </w:tc>
        <w:tc>
          <w:tcPr>
            <w:tcW w:w="1933"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钳工实训室</w:t>
            </w:r>
          </w:p>
        </w:tc>
        <w:tc>
          <w:tcPr>
            <w:tcW w:w="337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钳工工位</w:t>
            </w:r>
          </w:p>
        </w:tc>
        <w:tc>
          <w:tcPr>
            <w:tcW w:w="2749"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5</w:t>
            </w:r>
            <w:r>
              <w:rPr>
                <w:rFonts w:ascii="仿宋" w:hAnsi="仿宋" w:eastAsia="仿宋" w:cs="宋体"/>
                <w:kern w:val="0"/>
              </w:rPr>
              <w:t>0</w:t>
            </w:r>
          </w:p>
        </w:tc>
      </w:tr>
    </w:tbl>
    <w:p>
      <w:pPr>
        <w:pStyle w:val="23"/>
        <w:spacing w:before="163" w:after="163" w:afterLines="50" w:line="240" w:lineRule="auto"/>
        <w:ind w:left="420" w:firstLine="0" w:firstLineChars="0"/>
        <w:rPr>
          <w:rFonts w:ascii="仿宋" w:hAnsi="仿宋" w:eastAsia="仿宋"/>
          <w:sz w:val="24"/>
          <w:szCs w:val="24"/>
        </w:rPr>
      </w:pPr>
      <w:r>
        <w:rPr>
          <w:rFonts w:hint="eastAsia" w:ascii="仿宋" w:hAnsi="仿宋" w:eastAsia="仿宋"/>
          <w:sz w:val="24"/>
          <w:szCs w:val="24"/>
        </w:rPr>
        <w:t>2、校外实训基地情况</w:t>
      </w:r>
    </w:p>
    <w:p>
      <w:pPr>
        <w:pStyle w:val="23"/>
        <w:spacing w:beforeLines="0" w:line="240" w:lineRule="auto"/>
        <w:ind w:firstLine="0" w:firstLineChars="0"/>
        <w:jc w:val="center"/>
        <w:rPr>
          <w:rFonts w:ascii="仿宋" w:hAnsi="仿宋" w:eastAsia="仿宋"/>
          <w:b w:val="0"/>
          <w:sz w:val="24"/>
          <w:szCs w:val="24"/>
        </w:rPr>
      </w:pPr>
      <w:r>
        <w:rPr>
          <w:rFonts w:hint="eastAsia" w:ascii="仿宋" w:hAnsi="仿宋" w:eastAsia="仿宋" w:cs="宋体"/>
          <w:b w:val="0"/>
          <w:kern w:val="0"/>
          <w:sz w:val="24"/>
          <w:szCs w:val="24"/>
        </w:rPr>
        <w:t>表1</w:t>
      </w:r>
      <w:r>
        <w:rPr>
          <w:rFonts w:hint="eastAsia" w:ascii="仿宋" w:hAnsi="仿宋" w:eastAsia="仿宋" w:cs="宋体"/>
          <w:b w:val="0"/>
          <w:kern w:val="0"/>
          <w:sz w:val="24"/>
          <w:szCs w:val="24"/>
          <w:lang w:val="en-US" w:eastAsia="zh-CN"/>
        </w:rPr>
        <w:t>1</w:t>
      </w:r>
      <w:r>
        <w:rPr>
          <w:rFonts w:hint="eastAsia" w:ascii="仿宋" w:hAnsi="仿宋" w:eastAsia="仿宋" w:cs="宋体"/>
          <w:b w:val="0"/>
          <w:kern w:val="0"/>
          <w:sz w:val="24"/>
          <w:szCs w:val="24"/>
        </w:rPr>
        <w:t>：</w:t>
      </w:r>
      <w:r>
        <w:rPr>
          <w:rFonts w:hint="eastAsia" w:ascii="仿宋" w:hAnsi="仿宋" w:eastAsia="仿宋"/>
          <w:b w:val="0"/>
          <w:sz w:val="24"/>
          <w:szCs w:val="24"/>
        </w:rPr>
        <w:t>校外实训基地统计表</w:t>
      </w:r>
    </w:p>
    <w:tbl>
      <w:tblPr>
        <w:tblStyle w:val="12"/>
        <w:tblW w:w="9075" w:type="dxa"/>
        <w:jc w:val="center"/>
        <w:tblLayout w:type="fixed"/>
        <w:tblCellMar>
          <w:top w:w="0" w:type="dxa"/>
          <w:left w:w="28" w:type="dxa"/>
          <w:bottom w:w="0" w:type="dxa"/>
          <w:right w:w="28" w:type="dxa"/>
        </w:tblCellMar>
      </w:tblPr>
      <w:tblGrid>
        <w:gridCol w:w="1021"/>
        <w:gridCol w:w="4181"/>
        <w:gridCol w:w="3873"/>
      </w:tblGrid>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序号</w:t>
            </w:r>
          </w:p>
        </w:tc>
        <w:tc>
          <w:tcPr>
            <w:tcW w:w="418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校外实训基地名称</w:t>
            </w:r>
          </w:p>
        </w:tc>
        <w:tc>
          <w:tcPr>
            <w:tcW w:w="3872"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主要实习内容</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1</w:t>
            </w:r>
          </w:p>
        </w:tc>
        <w:tc>
          <w:tcPr>
            <w:tcW w:w="418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hint="eastAsia" w:ascii="仿宋" w:hAnsi="仿宋" w:eastAsia="仿宋" w:cs="宋体"/>
                <w:kern w:val="0"/>
              </w:rPr>
            </w:pPr>
            <w:r>
              <w:rPr>
                <w:rFonts w:hint="eastAsia" w:ascii="仿宋" w:hAnsi="仿宋" w:eastAsia="仿宋" w:cs="宋体"/>
                <w:kern w:val="0"/>
              </w:rPr>
              <w:t>深圳市力通电子有限公司</w:t>
            </w:r>
          </w:p>
        </w:tc>
        <w:tc>
          <w:tcPr>
            <w:tcW w:w="3872"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完成专业实习，实践等任务。</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2</w:t>
            </w:r>
          </w:p>
        </w:tc>
        <w:tc>
          <w:tcPr>
            <w:tcW w:w="418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hint="eastAsia" w:ascii="仿宋" w:hAnsi="仿宋" w:eastAsia="仿宋" w:cs="宋体"/>
                <w:kern w:val="0"/>
              </w:rPr>
            </w:pPr>
            <w:r>
              <w:rPr>
                <w:rFonts w:hint="eastAsia" w:ascii="仿宋" w:hAnsi="仿宋" w:eastAsia="仿宋" w:cs="宋体"/>
                <w:kern w:val="0"/>
              </w:rPr>
              <w:t>四川嘉陵纺织（集团）股份有限公司</w:t>
            </w:r>
          </w:p>
        </w:tc>
        <w:tc>
          <w:tcPr>
            <w:tcW w:w="3872"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完成专业实习，实践等任务。</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ascii="仿宋" w:hAnsi="仿宋" w:eastAsia="仿宋" w:cs="宋体"/>
                <w:kern w:val="0"/>
              </w:rPr>
              <w:t>3</w:t>
            </w:r>
          </w:p>
        </w:tc>
        <w:tc>
          <w:tcPr>
            <w:tcW w:w="418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hint="eastAsia" w:ascii="仿宋" w:hAnsi="仿宋" w:eastAsia="仿宋" w:cs="宋体"/>
                <w:kern w:val="0"/>
              </w:rPr>
            </w:pPr>
            <w:r>
              <w:rPr>
                <w:rFonts w:hint="eastAsia" w:ascii="仿宋" w:hAnsi="仿宋" w:eastAsia="仿宋" w:cs="宋体"/>
                <w:kern w:val="0"/>
              </w:rPr>
              <w:t>四川燎原机械有限公司</w:t>
            </w:r>
          </w:p>
        </w:tc>
        <w:tc>
          <w:tcPr>
            <w:tcW w:w="3872"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完成专业实习，实践等任务。</w:t>
            </w:r>
          </w:p>
        </w:tc>
      </w:tr>
    </w:tbl>
    <w:p>
      <w:pPr>
        <w:pStyle w:val="3"/>
        <w:spacing w:before="326" w:after="163" w:line="240" w:lineRule="auto"/>
        <w:ind w:firstLine="482"/>
      </w:pPr>
      <w:bookmarkStart w:id="58" w:name="_Toc433961923"/>
      <w:bookmarkStart w:id="59" w:name="_Toc16356578"/>
      <w:bookmarkStart w:id="60" w:name="_Toc17216705"/>
      <w:bookmarkStart w:id="61" w:name="_Toc135351553"/>
      <w:r>
        <w:rPr>
          <w:rFonts w:hint="eastAsia"/>
        </w:rPr>
        <w:t>（三）教学资源</w:t>
      </w:r>
      <w:bookmarkEnd w:id="58"/>
      <w:bookmarkEnd w:id="59"/>
      <w:bookmarkEnd w:id="60"/>
      <w:bookmarkEnd w:id="61"/>
    </w:p>
    <w:p>
      <w:pPr>
        <w:spacing w:beforeLines="0" w:after="0" w:afterAutospacing="0" w:line="240" w:lineRule="auto"/>
        <w:ind w:firstLine="482"/>
        <w:rPr>
          <w:rFonts w:ascii="仿宋" w:hAnsi="仿宋" w:eastAsia="仿宋"/>
          <w:b/>
        </w:rPr>
      </w:pPr>
      <w:bookmarkStart w:id="62" w:name="_Toc16356579"/>
      <w:bookmarkStart w:id="63" w:name="_Toc17216706"/>
      <w:r>
        <w:rPr>
          <w:rFonts w:hint="eastAsia" w:ascii="仿宋" w:hAnsi="仿宋" w:eastAsia="仿宋"/>
          <w:b/>
        </w:rPr>
        <w:t>1.教材开发及使用要求</w:t>
      </w:r>
    </w:p>
    <w:p>
      <w:pPr>
        <w:spacing w:beforeLines="0" w:after="0" w:afterAutospacing="0" w:line="240" w:lineRule="auto"/>
        <w:ind w:firstLine="480"/>
        <w:rPr>
          <w:rFonts w:ascii="仿宋" w:hAnsi="仿宋" w:eastAsia="仿宋"/>
        </w:rPr>
      </w:pPr>
      <w:r>
        <w:rPr>
          <w:rFonts w:hint="eastAsia" w:ascii="仿宋" w:hAnsi="仿宋" w:eastAsia="仿宋"/>
        </w:rPr>
        <w:t>专业课程按照教学标准选取国家规划教材，如自己开发的新课程可根据课程标准选用自编教材。教材编写，要充分体现项目课程设计思想，以项目为载体实施教学。教材体现先进性、通用性、实用性，要将本专业新材料及时地纳入教材，使教材更贴近本专业生产实际和发展的需要。</w:t>
      </w:r>
    </w:p>
    <w:p>
      <w:pPr>
        <w:spacing w:beforeLines="0" w:after="0" w:afterAutospacing="0" w:line="240" w:lineRule="auto"/>
        <w:ind w:firstLine="482"/>
        <w:rPr>
          <w:rFonts w:ascii="仿宋" w:hAnsi="仿宋" w:eastAsia="仿宋"/>
          <w:b/>
        </w:rPr>
      </w:pPr>
      <w:r>
        <w:rPr>
          <w:rFonts w:hint="eastAsia" w:ascii="仿宋" w:hAnsi="仿宋" w:eastAsia="仿宋"/>
          <w:b/>
        </w:rPr>
        <w:t>2.图书资料配备要求</w:t>
      </w:r>
    </w:p>
    <w:p>
      <w:pPr>
        <w:spacing w:beforeLines="0" w:after="0" w:afterAutospacing="0" w:line="240" w:lineRule="auto"/>
        <w:ind w:firstLine="480"/>
        <w:rPr>
          <w:rFonts w:ascii="仿宋" w:hAnsi="仿宋" w:eastAsia="仿宋"/>
        </w:rPr>
      </w:pPr>
      <w:r>
        <w:rPr>
          <w:rFonts w:hint="eastAsia" w:ascii="仿宋" w:hAnsi="仿宋" w:eastAsia="仿宋"/>
        </w:rPr>
        <w:t>给专业教师提供教材、教育类、行业类和专业类图书，专业图书生均册数逐年递增，图书具有时代性、科学性的特点，对知识技能过时的图书要即时清理。</w:t>
      </w:r>
    </w:p>
    <w:p>
      <w:pPr>
        <w:spacing w:beforeLines="0" w:after="0" w:afterAutospacing="0" w:line="240" w:lineRule="auto"/>
        <w:ind w:firstLine="482"/>
        <w:rPr>
          <w:rFonts w:ascii="仿宋" w:hAnsi="仿宋" w:eastAsia="仿宋"/>
          <w:b/>
        </w:rPr>
      </w:pPr>
      <w:r>
        <w:rPr>
          <w:rFonts w:hint="eastAsia" w:ascii="仿宋" w:hAnsi="仿宋" w:eastAsia="仿宋"/>
          <w:b/>
        </w:rPr>
        <w:t>3.数字资源配备要求</w:t>
      </w:r>
    </w:p>
    <w:p>
      <w:pPr>
        <w:spacing w:beforeLines="0" w:after="0" w:afterAutospacing="0" w:line="240" w:lineRule="auto"/>
        <w:ind w:firstLine="480"/>
        <w:rPr>
          <w:rFonts w:ascii="仿宋" w:hAnsi="仿宋" w:eastAsia="仿宋"/>
          <w:b/>
          <w:bCs/>
        </w:rPr>
      </w:pPr>
      <w:r>
        <w:rPr>
          <w:rFonts w:hint="eastAsia" w:ascii="仿宋" w:hAnsi="仿宋" w:eastAsia="仿宋"/>
        </w:rPr>
        <w:t>配备各个专业课程的优秀视频、音频等数字资源。注重视听光盘、教学仪器、多媒体仿真软件等常用课程资源和现代化教学资源的开发和利用。加强常用课程资源的开发，建立多媒体课程资源的数据库，努力实现跨学校多媒体资源共享，提高课程资源利用效率。</w:t>
      </w:r>
    </w:p>
    <w:bookmarkEnd w:id="62"/>
    <w:bookmarkEnd w:id="63"/>
    <w:p>
      <w:pPr>
        <w:pStyle w:val="2"/>
        <w:spacing w:beforeLines="0" w:after="0" w:afterAutospacing="0" w:line="240" w:lineRule="auto"/>
        <w:ind w:firstLine="480"/>
        <w:rPr>
          <w:rFonts w:ascii="楷体_GB2312" w:hAnsi="宋体" w:eastAsia="楷体_GB2312"/>
          <w:bCs w:val="0"/>
          <w:kern w:val="2"/>
          <w:sz w:val="24"/>
          <w:szCs w:val="24"/>
        </w:rPr>
      </w:pPr>
      <w:bookmarkStart w:id="64" w:name="_Toc102118660"/>
      <w:bookmarkStart w:id="65" w:name="_Toc80701192"/>
      <w:bookmarkStart w:id="66" w:name="_Toc135351554"/>
      <w:bookmarkStart w:id="67" w:name="_Toc17216707"/>
      <w:bookmarkStart w:id="68" w:name="_Toc16356580"/>
      <w:r>
        <w:rPr>
          <w:rFonts w:hint="eastAsia" w:ascii="楷体_GB2312" w:hAnsi="宋体" w:eastAsia="楷体_GB2312"/>
          <w:bCs w:val="0"/>
          <w:kern w:val="2"/>
          <w:sz w:val="24"/>
          <w:szCs w:val="24"/>
        </w:rPr>
        <w:t>（四）教学方法</w:t>
      </w:r>
      <w:bookmarkEnd w:id="64"/>
      <w:bookmarkEnd w:id="65"/>
      <w:bookmarkEnd w:id="66"/>
    </w:p>
    <w:p>
      <w:pPr>
        <w:spacing w:beforeLines="0" w:after="0" w:afterAutospacing="0" w:line="240" w:lineRule="auto"/>
        <w:ind w:firstLine="482"/>
        <w:rPr>
          <w:rFonts w:ascii="仿宋" w:hAnsi="仿宋" w:eastAsia="仿宋"/>
          <w:b/>
        </w:rPr>
      </w:pPr>
      <w:bookmarkStart w:id="69" w:name="_Toc71707247"/>
      <w:bookmarkEnd w:id="69"/>
      <w:bookmarkStart w:id="70" w:name="_Toc80701193"/>
      <w:bookmarkStart w:id="71" w:name="_Toc102118661"/>
      <w:r>
        <w:rPr>
          <w:rFonts w:hint="eastAsia" w:ascii="仿宋" w:hAnsi="仿宋" w:eastAsia="仿宋"/>
          <w:b/>
        </w:rPr>
        <w:t>1.公共基础课</w:t>
      </w:r>
      <w:bookmarkEnd w:id="70"/>
      <w:bookmarkEnd w:id="71"/>
    </w:p>
    <w:p>
      <w:pPr>
        <w:spacing w:beforeLines="0" w:after="0" w:afterAutospacing="0" w:line="240" w:lineRule="auto"/>
        <w:ind w:firstLine="480"/>
        <w:rPr>
          <w:rFonts w:ascii="仿宋" w:hAnsi="仿宋" w:eastAsia="仿宋"/>
        </w:rPr>
      </w:pPr>
      <w:r>
        <w:rPr>
          <w:rFonts w:hint="eastAsia" w:ascii="仿宋" w:hAnsi="仿宋" w:eastAsia="仿宋"/>
        </w:rPr>
        <w:t>公共基础课教学要符合教育部有关教育教学的基本要求，按照德、智、体、美、劳全面发展的功能来定位，重在改革教学方法和教学组织形式，不断创新教学手段和教学模式，充分调动学生学习的主动性和积极性，全面提高学生综合素质，培养学生的学习能力和职业能力，为学生今后的进一步发展打下良好基础。</w:t>
      </w:r>
    </w:p>
    <w:p>
      <w:pPr>
        <w:spacing w:beforeLines="0" w:after="0" w:afterAutospacing="0" w:line="240" w:lineRule="auto"/>
        <w:ind w:firstLine="482"/>
        <w:rPr>
          <w:rFonts w:ascii="仿宋" w:hAnsi="仿宋" w:eastAsia="仿宋"/>
          <w:b/>
        </w:rPr>
      </w:pPr>
      <w:bookmarkStart w:id="72" w:name="_Toc71707248"/>
      <w:bookmarkEnd w:id="72"/>
      <w:bookmarkStart w:id="73" w:name="_Toc80701194"/>
      <w:bookmarkStart w:id="74" w:name="_Toc102118662"/>
      <w:r>
        <w:rPr>
          <w:rFonts w:hint="eastAsia" w:ascii="仿宋" w:hAnsi="仿宋" w:eastAsia="仿宋"/>
          <w:b/>
        </w:rPr>
        <w:t>2.专业</w:t>
      </w:r>
      <w:bookmarkEnd w:id="73"/>
      <w:r>
        <w:rPr>
          <w:rFonts w:hint="eastAsia" w:ascii="仿宋" w:hAnsi="仿宋" w:eastAsia="仿宋"/>
          <w:b/>
        </w:rPr>
        <w:t>（技能）课</w:t>
      </w:r>
      <w:bookmarkEnd w:id="74"/>
    </w:p>
    <w:p>
      <w:pPr>
        <w:spacing w:beforeLines="0" w:after="0" w:afterAutospacing="0" w:line="240" w:lineRule="auto"/>
        <w:ind w:firstLine="480"/>
        <w:rPr>
          <w:rFonts w:ascii="仿宋" w:hAnsi="仿宋" w:eastAsia="仿宋"/>
        </w:rPr>
      </w:pPr>
      <w:r>
        <w:rPr>
          <w:rFonts w:hint="eastAsia" w:ascii="仿宋" w:hAnsi="仿宋" w:eastAsia="仿宋"/>
        </w:rPr>
        <w:t>专业坚持实施“校企”合作下的“双岗融合、证书融通”培养模式，通过知识学习-实训操作-跟岗实习的技能型人才培养过程，强化理论实践一体化，突出“做中学、做中教”的职业教育教学特色，根据课程性质，采用班级授课、分组教学、现场教学、实践训练、讨论、讲座等形式组织教学；主要实施情景+岗位虚实交替的教学模式，运用行动导向教学、项目教学、任务驱动教学等方法；不断创新教学手段，利用网络、多媒体、空间等信息化手段，倡导学生利用信息化手段自主学习、自主探索，积极开展师生教学互动，内化知识技能，建构专业知识体系，形成职业关键能力。</w:t>
      </w:r>
    </w:p>
    <w:p>
      <w:pPr>
        <w:pStyle w:val="3"/>
        <w:spacing w:before="326" w:after="163" w:line="240" w:lineRule="auto"/>
        <w:ind w:firstLine="482"/>
      </w:pPr>
      <w:bookmarkStart w:id="75" w:name="_Toc135351555"/>
      <w:r>
        <w:rPr>
          <w:rFonts w:hint="eastAsia"/>
        </w:rPr>
        <w:t>（五）教学评价</w:t>
      </w:r>
      <w:bookmarkEnd w:id="67"/>
      <w:bookmarkEnd w:id="68"/>
      <w:bookmarkEnd w:id="75"/>
    </w:p>
    <w:p>
      <w:pPr>
        <w:pStyle w:val="23"/>
        <w:spacing w:beforeLines="0" w:line="240" w:lineRule="auto"/>
        <w:ind w:firstLine="482"/>
        <w:rPr>
          <w:rFonts w:ascii="仿宋" w:hAnsi="仿宋" w:eastAsia="仿宋"/>
          <w:sz w:val="24"/>
          <w:szCs w:val="24"/>
        </w:rPr>
      </w:pPr>
      <w:r>
        <w:rPr>
          <w:rFonts w:hint="eastAsia" w:ascii="仿宋" w:hAnsi="仿宋" w:eastAsia="仿宋"/>
          <w:sz w:val="24"/>
          <w:szCs w:val="24"/>
        </w:rPr>
        <w:t>1.公共基础课</w:t>
      </w:r>
    </w:p>
    <w:p>
      <w:pPr>
        <w:pStyle w:val="19"/>
        <w:spacing w:before="0" w:beforeLines="0" w:line="240" w:lineRule="auto"/>
        <w:ind w:firstLine="480"/>
        <w:rPr>
          <w:rFonts w:ascii="仿宋" w:hAnsi="仿宋" w:eastAsia="仿宋"/>
          <w:szCs w:val="24"/>
        </w:rPr>
      </w:pPr>
      <w:bookmarkStart w:id="76" w:name="_Hlk15474923"/>
      <w:r>
        <w:rPr>
          <w:rFonts w:hint="eastAsia" w:ascii="仿宋" w:hAnsi="仿宋" w:eastAsia="仿宋"/>
          <w:szCs w:val="24"/>
        </w:rPr>
        <w:t>公共基础课由平时考核与期末考核相结合的方式进行，其中平时考核成绩占比60%，期末考核成绩占比40%</w:t>
      </w:r>
      <w:bookmarkEnd w:id="76"/>
      <w:r>
        <w:rPr>
          <w:rFonts w:hint="eastAsia" w:ascii="仿宋" w:hAnsi="仿宋" w:eastAsia="仿宋"/>
          <w:szCs w:val="24"/>
        </w:rPr>
        <w:t>，教师可根据授课对象和授课情况的不同酌情调整，评价方式尽量根据学科特点采用多样化方式，坚决克服以考卷定成绩，导致学生死记硬背，片面追求分数的教学倾向，重在培养学生的学习积极性和创造性，培养学生的学习习惯和纠正学生的学习态度，树立学生正确的人生观、世界观和价值观，力争让学生从德、智、体、美、劳全方面得到发展。</w:t>
      </w:r>
    </w:p>
    <w:p>
      <w:pPr>
        <w:pStyle w:val="23"/>
        <w:spacing w:beforeLines="0" w:line="240" w:lineRule="auto"/>
        <w:ind w:firstLine="482"/>
        <w:rPr>
          <w:rFonts w:ascii="仿宋" w:hAnsi="仿宋" w:eastAsia="仿宋"/>
          <w:sz w:val="24"/>
          <w:szCs w:val="24"/>
        </w:rPr>
      </w:pPr>
      <w:r>
        <w:rPr>
          <w:rFonts w:hint="eastAsia" w:ascii="仿宋" w:hAnsi="仿宋" w:eastAsia="仿宋"/>
          <w:sz w:val="24"/>
          <w:szCs w:val="24"/>
        </w:rPr>
        <w:t>2.专业（技能）课</w:t>
      </w:r>
    </w:p>
    <w:p>
      <w:pPr>
        <w:pStyle w:val="19"/>
        <w:spacing w:before="0" w:beforeLines="0" w:line="240" w:lineRule="auto"/>
        <w:ind w:firstLine="480"/>
        <w:rPr>
          <w:rFonts w:ascii="仿宋" w:hAnsi="仿宋" w:eastAsia="仿宋"/>
          <w:szCs w:val="24"/>
        </w:rPr>
      </w:pPr>
      <w:r>
        <w:rPr>
          <w:rFonts w:hint="eastAsia" w:ascii="仿宋" w:hAnsi="仿宋" w:eastAsia="仿宋"/>
          <w:szCs w:val="24"/>
        </w:rPr>
        <w:t>专业技能课由平时考核与期末考核相结合的方式进行，其中平时考核成绩占比</w:t>
      </w:r>
      <w:r>
        <w:rPr>
          <w:rFonts w:ascii="仿宋" w:hAnsi="仿宋" w:eastAsia="仿宋"/>
          <w:szCs w:val="24"/>
        </w:rPr>
        <w:t>7</w:t>
      </w:r>
      <w:r>
        <w:rPr>
          <w:rFonts w:hint="eastAsia" w:ascii="仿宋" w:hAnsi="仿宋" w:eastAsia="仿宋"/>
          <w:szCs w:val="24"/>
        </w:rPr>
        <w:t>0%，期末考核成绩占比</w:t>
      </w:r>
      <w:r>
        <w:rPr>
          <w:rFonts w:ascii="仿宋" w:hAnsi="仿宋" w:eastAsia="仿宋"/>
          <w:szCs w:val="24"/>
        </w:rPr>
        <w:t>3</w:t>
      </w:r>
      <w:r>
        <w:rPr>
          <w:rFonts w:hint="eastAsia" w:ascii="仿宋" w:hAnsi="仿宋" w:eastAsia="仿宋"/>
          <w:szCs w:val="24"/>
        </w:rPr>
        <w:t>0%。考核方式可根据学生的实际情况和课程性质不同，采用开卷考试、闭卷考试、实际操作，理论考核与实际操作相结合等方式。</w:t>
      </w:r>
    </w:p>
    <w:p>
      <w:pPr>
        <w:pStyle w:val="3"/>
        <w:spacing w:before="326" w:after="163" w:line="240" w:lineRule="auto"/>
        <w:ind w:firstLine="482"/>
      </w:pPr>
      <w:bookmarkStart w:id="77" w:name="_Toc433961924"/>
      <w:bookmarkStart w:id="78" w:name="_Toc16356581"/>
      <w:bookmarkStart w:id="79" w:name="_Toc17216708"/>
      <w:bookmarkStart w:id="80" w:name="_Toc135351556"/>
      <w:r>
        <w:rPr>
          <w:rFonts w:hint="eastAsia"/>
        </w:rPr>
        <w:t>（六）质量管理</w:t>
      </w:r>
      <w:bookmarkEnd w:id="77"/>
      <w:bookmarkEnd w:id="78"/>
      <w:bookmarkEnd w:id="79"/>
      <w:bookmarkEnd w:id="80"/>
    </w:p>
    <w:p>
      <w:pPr>
        <w:pStyle w:val="19"/>
        <w:spacing w:before="0" w:beforeLines="0" w:line="240" w:lineRule="auto"/>
        <w:ind w:firstLine="480"/>
        <w:rPr>
          <w:rFonts w:ascii="仿宋" w:hAnsi="仿宋" w:eastAsia="仿宋"/>
          <w:szCs w:val="24"/>
        </w:rPr>
      </w:pPr>
      <w:r>
        <w:rPr>
          <w:rFonts w:hint="eastAsia" w:ascii="仿宋" w:hAnsi="仿宋" w:eastAsia="仿宋"/>
          <w:szCs w:val="24"/>
        </w:rPr>
        <w:t>1.教学管理要更新观念，改变传统的教学管理方式。学校和</w:t>
      </w:r>
      <w:bookmarkStart w:id="81" w:name="_Hlk40544576"/>
      <w:r>
        <w:rPr>
          <w:rFonts w:hint="eastAsia" w:ascii="仿宋" w:hAnsi="仿宋" w:eastAsia="仿宋"/>
          <w:szCs w:val="24"/>
        </w:rPr>
        <w:t>专业建设指导委员会</w:t>
      </w:r>
      <w:bookmarkEnd w:id="81"/>
      <w:r>
        <w:rPr>
          <w:rFonts w:hint="eastAsia" w:ascii="仿宋" w:hAnsi="仿宋" w:eastAsia="仿宋"/>
          <w:szCs w:val="24"/>
        </w:rPr>
        <w:t>应建立专业建设和教学过程质量监控机制，建全专业教学质量监控管理制度，完善课堂教学、教学评价、实习实训、毕业设计以及专业调研、人才培养方案更新、资源建设等方面质量标准建设，通过教学实施、过程监控、质量评价和持续改进，达成人才培养规格。</w:t>
      </w:r>
    </w:p>
    <w:p>
      <w:pPr>
        <w:pStyle w:val="19"/>
        <w:spacing w:before="0" w:beforeLines="0" w:line="240" w:lineRule="auto"/>
        <w:ind w:firstLine="480"/>
        <w:rPr>
          <w:rFonts w:ascii="仿宋" w:hAnsi="仿宋" w:eastAsia="仿宋"/>
          <w:szCs w:val="24"/>
        </w:rPr>
      </w:pPr>
      <w:r>
        <w:rPr>
          <w:rFonts w:hint="eastAsia" w:ascii="仿宋" w:hAnsi="仿宋" w:eastAsia="仿宋"/>
          <w:szCs w:val="24"/>
        </w:rPr>
        <w:t>2.完善教学常规管理即运行机制。学校与专业建设指导委员会共同完善教学管理机制，加强日常教学组织运行与管理，定期开展课程建设水平和教学质量诊改，建立健全巡课、听课、评教、评学等制度，严明教学纪律和课堂纪律，强化教学组织功能，定期公开课、示范课等教研活动。</w:t>
      </w:r>
    </w:p>
    <w:p>
      <w:pPr>
        <w:pStyle w:val="19"/>
        <w:spacing w:before="0" w:beforeLines="0" w:line="240" w:lineRule="auto"/>
        <w:ind w:firstLine="480"/>
        <w:rPr>
          <w:rFonts w:ascii="仿宋" w:hAnsi="仿宋" w:eastAsia="仿宋"/>
          <w:szCs w:val="24"/>
        </w:rPr>
      </w:pPr>
      <w:r>
        <w:rPr>
          <w:rFonts w:hint="eastAsia" w:ascii="仿宋" w:hAnsi="仿宋" w:eastAsia="仿宋"/>
          <w:szCs w:val="24"/>
        </w:rPr>
        <w:t>3.学校应建立专业毕业生跟踪反馈机制及社会评价机制，并对生源情况、在校生学业水平、毕业生就业情况等进行分析，定期评价人才培养质量和培养目标达成情况。</w:t>
      </w:r>
    </w:p>
    <w:p>
      <w:pPr>
        <w:pStyle w:val="19"/>
        <w:spacing w:before="0" w:beforeLines="0" w:line="240" w:lineRule="auto"/>
        <w:ind w:firstLine="480"/>
        <w:rPr>
          <w:rFonts w:ascii="仿宋" w:hAnsi="仿宋" w:eastAsia="仿宋"/>
          <w:szCs w:val="24"/>
        </w:rPr>
      </w:pPr>
      <w:r>
        <w:rPr>
          <w:rFonts w:hint="eastAsia" w:ascii="仿宋" w:hAnsi="仿宋" w:eastAsia="仿宋"/>
          <w:szCs w:val="24"/>
        </w:rPr>
        <w:t>4.专业教研组织应充分利用评价分析结果有效改进专业教学，针对人才培养过程中存在的问题，制定诊断与改进措施，持续提高人才培养质量。</w:t>
      </w:r>
    </w:p>
    <w:p>
      <w:pPr>
        <w:pStyle w:val="33"/>
      </w:pPr>
      <w:bookmarkStart w:id="82" w:name="_Toc17216709"/>
      <w:bookmarkStart w:id="83" w:name="_Toc16356582"/>
      <w:bookmarkStart w:id="84" w:name="_Toc135351557"/>
      <w:r>
        <w:rPr>
          <w:rFonts w:hint="eastAsia"/>
        </w:rPr>
        <w:t>九、毕业要求</w:t>
      </w:r>
      <w:bookmarkEnd w:id="82"/>
      <w:bookmarkEnd w:id="83"/>
      <w:bookmarkEnd w:id="84"/>
    </w:p>
    <w:p>
      <w:pPr>
        <w:spacing w:beforeLines="0" w:after="0" w:afterAutospacing="0" w:line="240" w:lineRule="auto"/>
        <w:ind w:firstLine="480"/>
        <w:rPr>
          <w:rFonts w:ascii="仿宋" w:hAnsi="仿宋" w:eastAsia="仿宋" w:cstheme="minorBidi"/>
        </w:rPr>
      </w:pPr>
      <w:r>
        <w:rPr>
          <w:rFonts w:hint="eastAsia" w:ascii="仿宋" w:hAnsi="仿宋" w:eastAsia="仿宋" w:cstheme="minorBidi"/>
        </w:rPr>
        <w:t>本专业学生须修完中职段教学计划规定的所有必修课程并成绩合格，同时参加中职转入高职阶段考核合格，转入高职教育阶段继续学习。中职毕业且不准备继续进入高职教育阶段学习的，同时满足下列条件方可毕业：</w:t>
      </w:r>
    </w:p>
    <w:p>
      <w:pPr>
        <w:spacing w:beforeLines="0" w:after="0" w:afterAutospacing="0" w:line="240" w:lineRule="auto"/>
        <w:ind w:firstLine="480"/>
        <w:rPr>
          <w:rFonts w:ascii="仿宋" w:hAnsi="仿宋" w:eastAsia="仿宋" w:cstheme="minorBidi"/>
        </w:rPr>
      </w:pPr>
      <w:r>
        <w:rPr>
          <w:rFonts w:hint="eastAsia" w:ascii="仿宋" w:hAnsi="仿宋" w:eastAsia="仿宋" w:cstheme="minorBidi"/>
        </w:rPr>
        <w:t>1.德育量化考核合格；</w:t>
      </w:r>
    </w:p>
    <w:p>
      <w:pPr>
        <w:spacing w:beforeLines="0" w:after="0" w:afterAutospacing="0" w:line="240" w:lineRule="auto"/>
        <w:ind w:firstLine="480"/>
        <w:rPr>
          <w:rFonts w:ascii="仿宋" w:hAnsi="仿宋" w:eastAsia="仿宋" w:cstheme="minorBidi"/>
        </w:rPr>
      </w:pPr>
      <w:r>
        <w:rPr>
          <w:rFonts w:hint="eastAsia" w:ascii="仿宋" w:hAnsi="仿宋" w:eastAsia="仿宋" w:cstheme="minorBidi"/>
        </w:rPr>
        <w:t>2.修完本专业规定的所有课程，且成绩全部合格，修完全部学分；</w:t>
      </w:r>
    </w:p>
    <w:p>
      <w:pPr>
        <w:spacing w:beforeLines="0" w:after="0" w:afterAutospacing="0" w:line="240" w:lineRule="auto"/>
        <w:ind w:firstLine="480"/>
        <w:rPr>
          <w:rFonts w:ascii="仿宋" w:hAnsi="仿宋" w:eastAsia="仿宋" w:cstheme="minorBidi"/>
        </w:rPr>
      </w:pPr>
      <w:r>
        <w:rPr>
          <w:rFonts w:hint="eastAsia" w:ascii="仿宋" w:hAnsi="仿宋" w:eastAsia="仿宋" w:cstheme="minorBidi"/>
        </w:rPr>
        <w:t>3.中职学生操行评定合格。</w:t>
      </w:r>
    </w:p>
    <w:p>
      <w:pPr>
        <w:spacing w:beforeLines="0" w:after="0" w:afterAutospacing="0" w:line="240" w:lineRule="auto"/>
        <w:ind w:firstLine="480"/>
        <w:rPr>
          <w:rFonts w:ascii="仿宋" w:hAnsi="仿宋" w:eastAsia="仿宋"/>
        </w:rPr>
      </w:pPr>
    </w:p>
    <w:p>
      <w:pPr>
        <w:pStyle w:val="33"/>
      </w:pPr>
      <w:bookmarkStart w:id="85" w:name="_Toc135351558"/>
      <w:r>
        <w:rPr>
          <w:rFonts w:hint="eastAsia"/>
        </w:rPr>
        <w:t>十、附录</w:t>
      </w:r>
      <w:bookmarkEnd w:id="85"/>
    </w:p>
    <w:p>
      <w:pPr>
        <w:spacing w:beforeLines="0" w:after="0" w:afterAutospacing="0" w:line="240" w:lineRule="auto"/>
        <w:ind w:firstLine="480"/>
        <w:rPr>
          <w:rFonts w:ascii="仿宋" w:hAnsi="仿宋" w:eastAsia="仿宋"/>
        </w:rPr>
      </w:pPr>
      <w:r>
        <w:rPr>
          <w:rFonts w:hint="eastAsia" w:ascii="仿宋" w:hAnsi="仿宋" w:eastAsia="仿宋"/>
        </w:rPr>
        <w:t>数控应用技术专业教学进程安排表</w:t>
      </w:r>
    </w:p>
    <w:p>
      <w:pPr>
        <w:widowControl/>
        <w:spacing w:beforeLines="0" w:after="0" w:afterAutospacing="0" w:line="240" w:lineRule="auto"/>
        <w:ind w:firstLine="0" w:firstLineChars="0"/>
        <w:jc w:val="left"/>
        <w:rPr>
          <w:rFonts w:ascii="仿宋" w:hAnsi="仿宋" w:eastAsia="仿宋"/>
        </w:rPr>
      </w:pPr>
      <w:r>
        <w:rPr>
          <w:rFonts w:ascii="仿宋" w:hAnsi="仿宋" w:eastAsia="仿宋"/>
        </w:rPr>
        <w:br w:type="page"/>
      </w:r>
    </w:p>
    <w:p>
      <w:pPr>
        <w:spacing w:beforeLines="0" w:after="0" w:afterAutospacing="0" w:line="240" w:lineRule="auto"/>
        <w:ind w:firstLine="480"/>
        <w:jc w:val="center"/>
        <w:rPr>
          <w:rFonts w:ascii="仿宋" w:hAnsi="仿宋" w:eastAsia="仿宋"/>
        </w:rPr>
      </w:pPr>
      <w:r>
        <w:rPr>
          <w:rFonts w:hint="eastAsia" w:ascii="仿宋" w:hAnsi="仿宋" w:eastAsia="仿宋"/>
        </w:rPr>
        <w:t>数控应用技术专业教学进程安排表</w:t>
      </w:r>
    </w:p>
    <w:tbl>
      <w:tblPr>
        <w:tblStyle w:val="12"/>
        <w:tblW w:w="53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761"/>
        <w:gridCol w:w="1813"/>
        <w:gridCol w:w="1015"/>
        <w:gridCol w:w="703"/>
        <w:gridCol w:w="748"/>
        <w:gridCol w:w="569"/>
        <w:gridCol w:w="570"/>
        <w:gridCol w:w="569"/>
        <w:gridCol w:w="570"/>
        <w:gridCol w:w="569"/>
        <w:gridCol w:w="570"/>
        <w:gridCol w:w="829"/>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12" w:type="dxa"/>
            <w:vMerge w:val="restart"/>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b/>
                <w:bCs/>
                <w:kern w:val="0"/>
              </w:rPr>
              <w:t>课程</w:t>
            </w:r>
          </w:p>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类别</w:t>
            </w:r>
          </w:p>
        </w:tc>
        <w:tc>
          <w:tcPr>
            <w:tcW w:w="761" w:type="dxa"/>
            <w:vMerge w:val="restart"/>
            <w:shd w:val="clear" w:color="auto" w:fill="auto"/>
            <w:vAlign w:val="center"/>
          </w:tcPr>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课程</w:t>
            </w:r>
          </w:p>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性质</w:t>
            </w:r>
          </w:p>
        </w:tc>
        <w:tc>
          <w:tcPr>
            <w:tcW w:w="1813" w:type="dxa"/>
            <w:vMerge w:val="restart"/>
            <w:shd w:val="clear" w:color="auto" w:fill="auto"/>
            <w:vAlign w:val="center"/>
          </w:tcPr>
          <w:p>
            <w:pPr>
              <w:adjustRightInd w:val="0"/>
              <w:snapToGrid w:val="0"/>
              <w:spacing w:beforeLines="0" w:after="0" w:afterAutospacing="0" w:line="240" w:lineRule="auto"/>
              <w:ind w:firstLine="482"/>
              <w:jc w:val="center"/>
              <w:rPr>
                <w:rFonts w:ascii="仿宋_GB2312" w:hAnsi="宋体" w:eastAsia="仿宋_GB2312"/>
                <w:b/>
                <w:bCs/>
                <w:kern w:val="0"/>
              </w:rPr>
            </w:pPr>
            <w:r>
              <w:rPr>
                <w:rFonts w:hint="eastAsia" w:ascii="仿宋_GB2312" w:hAnsi="宋体" w:eastAsia="仿宋_GB2312"/>
                <w:b/>
                <w:bCs/>
                <w:kern w:val="0"/>
              </w:rPr>
              <w:t>课程名称</w:t>
            </w:r>
          </w:p>
        </w:tc>
        <w:tc>
          <w:tcPr>
            <w:tcW w:w="1015" w:type="dxa"/>
            <w:vMerge w:val="restart"/>
            <w:shd w:val="clear" w:color="auto" w:fill="auto"/>
            <w:vAlign w:val="center"/>
          </w:tcPr>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课程</w:t>
            </w:r>
          </w:p>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代码</w:t>
            </w:r>
          </w:p>
        </w:tc>
        <w:tc>
          <w:tcPr>
            <w:tcW w:w="703" w:type="dxa"/>
            <w:vMerge w:val="restart"/>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学分</w:t>
            </w:r>
          </w:p>
        </w:tc>
        <w:tc>
          <w:tcPr>
            <w:tcW w:w="748" w:type="dxa"/>
            <w:vMerge w:val="restart"/>
            <w:shd w:val="clear" w:color="auto" w:fill="auto"/>
            <w:vAlign w:val="center"/>
          </w:tcPr>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学时</w:t>
            </w:r>
          </w:p>
        </w:tc>
        <w:tc>
          <w:tcPr>
            <w:tcW w:w="3417" w:type="dxa"/>
            <w:gridSpan w:val="6"/>
            <w:shd w:val="clear" w:color="auto" w:fill="auto"/>
            <w:vAlign w:val="center"/>
          </w:tcPr>
          <w:p>
            <w:pPr>
              <w:widowControl/>
              <w:adjustRightInd w:val="0"/>
              <w:snapToGrid w:val="0"/>
              <w:spacing w:beforeLines="0" w:after="0" w:afterAutospacing="0" w:line="240" w:lineRule="auto"/>
              <w:ind w:firstLine="482"/>
              <w:jc w:val="center"/>
              <w:rPr>
                <w:rFonts w:ascii="仿宋_GB2312" w:hAnsi="宋体" w:eastAsia="仿宋_GB2312"/>
                <w:b/>
                <w:bCs/>
                <w:kern w:val="0"/>
              </w:rPr>
            </w:pPr>
            <w:r>
              <w:rPr>
                <w:rFonts w:hint="eastAsia" w:ascii="仿宋_GB2312" w:hAnsi="宋体" w:eastAsia="仿宋_GB2312"/>
                <w:b/>
                <w:bCs/>
                <w:kern w:val="0"/>
              </w:rPr>
              <w:t>开设学期（周课时）</w:t>
            </w:r>
          </w:p>
        </w:tc>
        <w:tc>
          <w:tcPr>
            <w:tcW w:w="829" w:type="dxa"/>
            <w:vMerge w:val="restart"/>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考核</w:t>
            </w:r>
          </w:p>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方式</w:t>
            </w:r>
          </w:p>
        </w:tc>
        <w:tc>
          <w:tcPr>
            <w:tcW w:w="701" w:type="dxa"/>
            <w:vMerge w:val="restart"/>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学时</w:t>
            </w:r>
          </w:p>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76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1813"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1015"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703"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b/>
                <w:bCs/>
                <w:kern w:val="0"/>
              </w:rPr>
            </w:pPr>
          </w:p>
        </w:tc>
        <w:tc>
          <w:tcPr>
            <w:tcW w:w="74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569"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1</w:t>
            </w:r>
          </w:p>
        </w:tc>
        <w:tc>
          <w:tcPr>
            <w:tcW w:w="570"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2</w:t>
            </w:r>
          </w:p>
        </w:tc>
        <w:tc>
          <w:tcPr>
            <w:tcW w:w="569"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3</w:t>
            </w:r>
          </w:p>
        </w:tc>
        <w:tc>
          <w:tcPr>
            <w:tcW w:w="570"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4</w:t>
            </w:r>
          </w:p>
        </w:tc>
        <w:tc>
          <w:tcPr>
            <w:tcW w:w="569"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5</w:t>
            </w:r>
          </w:p>
        </w:tc>
        <w:tc>
          <w:tcPr>
            <w:tcW w:w="570"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6</w:t>
            </w:r>
          </w:p>
        </w:tc>
        <w:tc>
          <w:tcPr>
            <w:tcW w:w="829"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restart"/>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公共</w:t>
            </w:r>
          </w:p>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基础</w:t>
            </w:r>
          </w:p>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w:t>
            </w: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中国特色社会主义</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010101</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restart"/>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ascii="仿宋_GB2312" w:hAnsi="宋体" w:eastAsia="仿宋_GB2312"/>
                <w:b/>
                <w:bCs/>
                <w:kern w:val="0"/>
              </w:rPr>
              <w:t>50</w:t>
            </w:r>
            <w:r>
              <w:rPr>
                <w:rFonts w:hint="eastAsia" w:ascii="仿宋_GB2312" w:hAnsi="宋体" w:eastAsia="仿宋_GB2312"/>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心理健康与职业生涯</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010102</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哲学与人生</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010103</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职业道德与法治</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010104</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语文</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010105</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18</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324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w:t>
            </w: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英语</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010106</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18</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324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w:t>
            </w: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数学</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010107</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18</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324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w:t>
            </w: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物理</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000000"/>
                <w:kern w:val="0"/>
              </w:rPr>
            </w:pPr>
            <w:r>
              <w:rPr>
                <w:rFonts w:hint="eastAsia" w:ascii="仿宋_GB2312" w:hAnsi="宋体" w:eastAsia="仿宋_GB2312"/>
                <w:color w:val="000000"/>
                <w:kern w:val="0"/>
              </w:rPr>
              <w:t>010108</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000000"/>
                <w:kern w:val="0"/>
              </w:rPr>
            </w:pPr>
            <w:r>
              <w:rPr>
                <w:rFonts w:hint="eastAsia" w:ascii="仿宋_GB2312" w:hAnsi="宋体" w:eastAsia="仿宋_GB2312"/>
                <w:color w:val="000000"/>
                <w:kern w:val="0"/>
              </w:rPr>
              <w:t>7</w:t>
            </w:r>
            <w:r>
              <w:rPr>
                <w:rFonts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r>
              <w:rPr>
                <w:rFonts w:hint="eastAsia"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化学</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000000"/>
                <w:kern w:val="0"/>
              </w:rPr>
            </w:pPr>
            <w:r>
              <w:rPr>
                <w:rFonts w:hint="eastAsia" w:ascii="仿宋_GB2312" w:hAnsi="宋体" w:eastAsia="仿宋_GB2312"/>
                <w:color w:val="000000"/>
                <w:kern w:val="0"/>
              </w:rPr>
              <w:t>010109</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000000"/>
                <w:kern w:val="0"/>
              </w:rPr>
            </w:pPr>
            <w:r>
              <w:rPr>
                <w:rFonts w:hint="eastAsia" w:ascii="仿宋_GB2312" w:hAnsi="宋体" w:eastAsia="仿宋_GB2312"/>
                <w:color w:val="000000"/>
                <w:kern w:val="0"/>
              </w:rPr>
              <w:t>7</w:t>
            </w:r>
            <w:r>
              <w:rPr>
                <w:rFonts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r>
              <w:rPr>
                <w:rFonts w:hint="eastAsia"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历史</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010110</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72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信息技术</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010111</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r>
              <w:rPr>
                <w:rFonts w:hint="eastAsia" w:ascii="仿宋_GB2312" w:hAnsi="宋体" w:eastAsia="仿宋_GB2312"/>
                <w:kern w:val="0"/>
              </w:rPr>
              <w:t>6</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FF0000"/>
                <w:kern w:val="0"/>
              </w:rPr>
            </w:pPr>
            <w:r>
              <w:rPr>
                <w:rFonts w:hint="eastAsia" w:ascii="仿宋_GB2312" w:hAnsi="宋体" w:eastAsia="仿宋_GB2312"/>
                <w:color w:val="000000"/>
                <w:kern w:val="0"/>
              </w:rPr>
              <w:t>108</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r>
              <w:rPr>
                <w:rFonts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r>
              <w:rPr>
                <w:rFonts w:ascii="仿宋_GB2312" w:hAnsi="宋体" w:eastAsia="仿宋_GB2312"/>
                <w:color w:val="000000"/>
                <w:kern w:val="0"/>
              </w:rPr>
              <w:t>3</w:t>
            </w: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机考</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体育与健康</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010112</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216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艺术</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010113</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1</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班团健安</w:t>
            </w:r>
          </w:p>
        </w:tc>
        <w:tc>
          <w:tcPr>
            <w:tcW w:w="1015" w:type="dxa"/>
            <w:shd w:val="clear" w:color="auto" w:fill="auto"/>
            <w:vAlign w:val="center"/>
          </w:tcPr>
          <w:p>
            <w:pPr>
              <w:widowControl/>
              <w:adjustRightInd w:val="0"/>
              <w:snapToGrid w:val="0"/>
              <w:spacing w:beforeLines="0" w:after="0" w:afterAutospacing="0" w:line="240" w:lineRule="auto"/>
              <w:ind w:firstLine="0" w:firstLineChars="0"/>
              <w:jc w:val="left"/>
              <w:rPr>
                <w:rFonts w:ascii="仿宋_GB2312" w:hAnsi="宋体" w:eastAsia="仿宋_GB2312"/>
                <w:kern w:val="0"/>
              </w:rPr>
            </w:pPr>
            <w:r>
              <w:rPr>
                <w:rFonts w:hint="eastAsia" w:ascii="仿宋_GB2312" w:hAnsi="宋体" w:eastAsia="仿宋_GB2312"/>
                <w:kern w:val="0"/>
              </w:rPr>
              <w:t>0</w:t>
            </w:r>
            <w:r>
              <w:rPr>
                <w:rFonts w:ascii="仿宋_GB2312" w:hAnsi="宋体" w:eastAsia="仿宋_GB2312"/>
                <w:kern w:val="0"/>
              </w:rPr>
              <w:t>10114</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p>
        </w:tc>
        <w:tc>
          <w:tcPr>
            <w:tcW w:w="748"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劳动专题教育</w:t>
            </w:r>
          </w:p>
        </w:tc>
        <w:tc>
          <w:tcPr>
            <w:tcW w:w="1015" w:type="dxa"/>
            <w:shd w:val="clear" w:color="auto" w:fill="auto"/>
            <w:vAlign w:val="center"/>
          </w:tcPr>
          <w:p>
            <w:pPr>
              <w:widowControl/>
              <w:adjustRightInd w:val="0"/>
              <w:snapToGrid w:val="0"/>
              <w:spacing w:beforeLines="0" w:after="0" w:afterAutospacing="0" w:line="240" w:lineRule="auto"/>
              <w:ind w:firstLine="0" w:firstLineChars="0"/>
              <w:jc w:val="left"/>
              <w:rPr>
                <w:rFonts w:ascii="仿宋_GB2312" w:hAnsi="宋体" w:eastAsia="仿宋_GB2312"/>
                <w:kern w:val="0"/>
              </w:rPr>
            </w:pPr>
            <w:r>
              <w:rPr>
                <w:rFonts w:hint="eastAsia" w:ascii="仿宋_GB2312" w:hAnsi="宋体" w:eastAsia="仿宋_GB2312"/>
                <w:kern w:val="0"/>
              </w:rPr>
              <w:t>0</w:t>
            </w:r>
            <w:r>
              <w:rPr>
                <w:rFonts w:ascii="仿宋_GB2312" w:hAnsi="宋体" w:eastAsia="仿宋_GB2312"/>
                <w:kern w:val="0"/>
              </w:rPr>
              <w:t>10115</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216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r>
              <w:rPr>
                <w:rFonts w:hint="eastAsia" w:ascii="仿宋_GB2312" w:hAnsi="宋体" w:eastAsia="仿宋_GB2312"/>
                <w:kern w:val="0"/>
              </w:rPr>
              <w:t>2</w:t>
            </w: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3589" w:type="dxa"/>
            <w:gridSpan w:val="3"/>
            <w:shd w:val="clear" w:color="auto" w:fill="auto"/>
            <w:vAlign w:val="center"/>
          </w:tcPr>
          <w:p>
            <w:pPr>
              <w:adjustRightInd w:val="0"/>
              <w:snapToGrid w:val="0"/>
              <w:spacing w:before="163" w:after="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合  计</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仿宋_GB2312" w:hAnsi="宋体" w:eastAsia="仿宋_GB2312"/>
                <w:b/>
                <w:bCs/>
                <w:kern w:val="0"/>
              </w:rPr>
              <w:t>106</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ascii="仿宋_GB2312" w:hAnsi="宋体" w:eastAsia="仿宋_GB2312"/>
                <w:b/>
                <w:bCs/>
                <w:color w:val="000000"/>
                <w:kern w:val="0"/>
              </w:rPr>
              <w:t>1908</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仿宋_GB2312" w:hAnsi="宋体" w:eastAsia="仿宋_GB2312"/>
                <w:b/>
                <w:bCs/>
                <w:kern w:val="0"/>
              </w:rPr>
              <w:t>19</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19</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仿宋_GB2312" w:hAnsi="宋体" w:eastAsia="仿宋_GB2312"/>
                <w:b/>
                <w:bCs/>
                <w:kern w:val="0"/>
              </w:rPr>
              <w:t>19</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仿宋_GB2312" w:hAnsi="宋体" w:eastAsia="仿宋_GB2312"/>
                <w:b/>
                <w:bCs/>
                <w:kern w:val="0"/>
              </w:rPr>
              <w:t>19</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13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13</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color w:val="FF0000"/>
                <w:kern w:val="0"/>
                <w:shd w:val="clear" w:color="auto" w:fill="D9D9D9"/>
              </w:rPr>
            </w:pPr>
            <w:r>
              <w:rPr>
                <w:rFonts w:hint="eastAsia" w:ascii="仿宋_GB2312" w:hAnsi="宋体" w:eastAsia="仿宋_GB2312"/>
                <w:kern w:val="0"/>
              </w:rPr>
              <w:t>-</w:t>
            </w:r>
            <w:r>
              <w:rPr>
                <w:rFonts w:ascii="仿宋_GB2312" w:hAnsi="宋体" w:eastAsia="仿宋_GB2312"/>
                <w:kern w:val="0"/>
              </w:rPr>
              <w:t>-</w:t>
            </w:r>
            <w:r>
              <w:rPr>
                <w:rFonts w:hint="eastAsia" w:ascii="仿宋_GB2312" w:hAnsi="宋体" w:eastAsia="仿宋_GB2312"/>
                <w:kern w:val="0"/>
              </w:rPr>
              <w:t>-</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restart"/>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专业核心课程</w:t>
            </w: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机械制图</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10201</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701" w:type="dxa"/>
            <w:vMerge w:val="restart"/>
            <w:shd w:val="clear" w:color="auto" w:fill="auto"/>
            <w:vAlign w:val="center"/>
          </w:tcPr>
          <w:p>
            <w:pPr>
              <w:widowControl/>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3</w:t>
            </w:r>
            <w:r>
              <w:rPr>
                <w:rFonts w:ascii="仿宋_GB2312" w:hAnsi="宋体" w:eastAsia="仿宋_GB2312"/>
                <w:b/>
                <w:bCs/>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机械基础</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10202</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极限配合与技术测量</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10203</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CAD/CAM软件应用</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10204</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数控车削加工工艺与编程</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10205</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数控铣削加工工艺与编程</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10206</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restart"/>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专业技能课程</w:t>
            </w:r>
          </w:p>
          <w:p>
            <w:pPr>
              <w:spacing w:before="163" w:after="0" w:line="240" w:lineRule="auto"/>
              <w:ind w:firstLine="48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钳工工艺</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10207</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spacing w:before="163" w:after="0" w:line="240" w:lineRule="auto"/>
              <w:ind w:firstLine="48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车工工艺</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10208</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数控车削技术训练</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10209</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6</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108</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数控铣削技术训练</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10210</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4</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机械制造工艺基础</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10211</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829" w:type="dxa"/>
            <w:shd w:val="clear" w:color="auto" w:fill="auto"/>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数控机床机械装调与维修</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10212</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829" w:type="dxa"/>
            <w:shd w:val="clear" w:color="auto" w:fill="auto"/>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数控机床电气控制技术</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10213</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829" w:type="dxa"/>
            <w:shd w:val="clear" w:color="auto" w:fill="auto"/>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UG软件应用</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10214</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10</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180</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201" w:type="dxa"/>
            <w:gridSpan w:val="4"/>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仿宋" w:hAnsi="仿宋" w:eastAsia="仿宋"/>
                <w:b/>
                <w:color w:val="000000"/>
              </w:rPr>
              <w:t>合计</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等线" w:hAnsi="等线" w:eastAsia="等线"/>
                <w:b/>
                <w:color w:val="000000"/>
                <w:sz w:val="22"/>
                <w:szCs w:val="22"/>
              </w:rPr>
              <w:t>82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
                <w:color w:val="000000"/>
              </w:rPr>
            </w:pPr>
            <w:r>
              <w:rPr>
                <w:rFonts w:hint="eastAsia" w:ascii="等线" w:hAnsi="等线" w:eastAsia="等线"/>
                <w:b/>
                <w:color w:val="000000"/>
                <w:sz w:val="22"/>
                <w:szCs w:val="22"/>
              </w:rPr>
              <w:t>1476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bCs/>
                <w:color w:val="000000"/>
              </w:rPr>
            </w:pPr>
            <w:r>
              <w:rPr>
                <w:rFonts w:hint="eastAsia" w:ascii="等线" w:hAnsi="等线" w:eastAsia="等线"/>
                <w:b/>
                <w:color w:val="000000"/>
                <w:sz w:val="22"/>
                <w:szCs w:val="22"/>
              </w:rPr>
              <w:t>14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bCs/>
                <w:color w:val="000000"/>
              </w:rPr>
            </w:pPr>
            <w:r>
              <w:rPr>
                <w:rFonts w:hint="eastAsia" w:ascii="等线" w:hAnsi="等线" w:eastAsia="等线"/>
                <w:b/>
                <w:color w:val="000000"/>
                <w:sz w:val="22"/>
                <w:szCs w:val="22"/>
              </w:rPr>
              <w:t>16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bCs/>
                <w:color w:val="000000"/>
              </w:rPr>
            </w:pPr>
            <w:r>
              <w:rPr>
                <w:rFonts w:hint="eastAsia" w:ascii="等线" w:hAnsi="等线" w:eastAsia="等线"/>
                <w:b/>
                <w:color w:val="000000"/>
                <w:sz w:val="22"/>
                <w:szCs w:val="22"/>
              </w:rPr>
              <w:t>14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等线" w:hAnsi="等线" w:eastAsia="等线"/>
                <w:b/>
                <w:color w:val="000000"/>
                <w:sz w:val="22"/>
                <w:szCs w:val="22"/>
              </w:rPr>
              <w:t>1</w:t>
            </w:r>
            <w:r>
              <w:rPr>
                <w:rFonts w:ascii="等线" w:hAnsi="等线" w:eastAsia="等线"/>
                <w:b/>
                <w:color w:val="000000"/>
                <w:sz w:val="22"/>
                <w:szCs w:val="22"/>
              </w:rPr>
              <w:t>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等线" w:hAnsi="等线" w:eastAsia="等线"/>
                <w:b/>
                <w:color w:val="000000"/>
                <w:sz w:val="22"/>
                <w:szCs w:val="22"/>
              </w:rPr>
              <w:t>14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等线" w:hAnsi="等线" w:eastAsia="等线"/>
                <w:b/>
                <w:color w:val="000000"/>
                <w:sz w:val="22"/>
                <w:szCs w:val="22"/>
              </w:rPr>
              <w:t>8</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ascii="仿宋_GB2312" w:hAnsi="宋体" w:eastAsia="仿宋_GB2312"/>
                <w:b/>
                <w:kern w:val="0"/>
              </w:rPr>
              <w:t>-</w:t>
            </w:r>
            <w:r>
              <w:rPr>
                <w:rFonts w:hint="eastAsia" w:ascii="仿宋_GB2312" w:hAnsi="宋体" w:eastAsia="仿宋_GB2312"/>
                <w:b/>
                <w:kern w:val="0"/>
              </w:rPr>
              <w:t>-</w:t>
            </w:r>
            <w:r>
              <w:rPr>
                <w:rFonts w:ascii="仿宋_GB2312" w:hAnsi="宋体" w:eastAsia="仿宋_GB2312"/>
                <w:b/>
                <w:kern w:val="0"/>
              </w:rPr>
              <w:t>-</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2" w:type="dxa"/>
            <w:vMerge w:val="restart"/>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r>
              <w:rPr>
                <w:rFonts w:hint="eastAsia" w:ascii="仿宋_GB2312" w:hAnsi="宋体" w:eastAsia="仿宋_GB2312"/>
                <w:kern w:val="0"/>
              </w:rPr>
              <w:t>专业选修</w:t>
            </w:r>
          </w:p>
          <w:p>
            <w:pPr>
              <w:spacing w:before="163" w:after="0" w:line="240" w:lineRule="auto"/>
              <w:ind w:firstLine="48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现代制造技术</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10301</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restart"/>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r>
              <w:rPr>
                <w:rFonts w:hint="eastAsia" w:ascii="仿宋_GB2312" w:hAnsi="宋体" w:eastAsia="仿宋_GB2312"/>
                <w:b/>
                <w:bCs/>
                <w:kern w:val="0"/>
              </w:rPr>
              <w:t>1</w:t>
            </w:r>
            <w:r>
              <w:rPr>
                <w:rFonts w:ascii="仿宋_GB2312" w:hAnsi="宋体" w:eastAsia="仿宋_GB2312"/>
                <w:b/>
                <w:bCs/>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电工电子技术与技能</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10302</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7</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126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3</w:t>
            </w:r>
          </w:p>
        </w:tc>
        <w:tc>
          <w:tcPr>
            <w:tcW w:w="829" w:type="dxa"/>
            <w:shd w:val="clear" w:color="auto" w:fill="auto"/>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营销技术</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10303</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金属加工与实训</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10304</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7</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126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3</w:t>
            </w: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12" w:type="dxa"/>
            <w:vMerge w:val="restart"/>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r>
              <w:rPr>
                <w:rFonts w:hint="eastAsia" w:ascii="仿宋_GB2312" w:hAnsi="宋体" w:eastAsia="仿宋_GB2312"/>
                <w:kern w:val="0"/>
              </w:rPr>
              <w:t>素质选修</w:t>
            </w: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心理健康</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10305</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书法</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10306</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829" w:type="dxa"/>
            <w:shd w:val="clear" w:color="auto" w:fill="auto"/>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中华优秀传统文化</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10307</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4201" w:type="dxa"/>
            <w:gridSpan w:val="4"/>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hint="eastAsia" w:ascii="仿宋_GB2312" w:hAnsi="宋体" w:eastAsia="仿宋_GB2312"/>
                <w:b/>
                <w:kern w:val="0"/>
              </w:rPr>
              <w:t>合计</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24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color w:val="000000"/>
                <w:kern w:val="0"/>
              </w:rPr>
            </w:pPr>
            <w:r>
              <w:rPr>
                <w:rFonts w:hint="eastAsia" w:ascii="等线" w:hAnsi="等线" w:eastAsia="等线"/>
                <w:b/>
                <w:color w:val="000000"/>
                <w:sz w:val="22"/>
                <w:szCs w:val="22"/>
              </w:rPr>
              <w:t>432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0</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0</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0</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8</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14</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ascii="仿宋_GB2312" w:hAnsi="宋体" w:eastAsia="仿宋_GB2312"/>
                <w:b/>
                <w:kern w:val="0"/>
              </w:rPr>
              <w:t>-</w:t>
            </w:r>
            <w:r>
              <w:rPr>
                <w:rFonts w:hint="eastAsia" w:ascii="仿宋_GB2312" w:hAnsi="宋体" w:eastAsia="仿宋_GB2312"/>
                <w:b/>
                <w:kern w:val="0"/>
              </w:rPr>
              <w:t>-</w:t>
            </w:r>
            <w:r>
              <w:rPr>
                <w:rFonts w:ascii="仿宋_GB2312" w:hAnsi="宋体" w:eastAsia="仿宋_GB2312"/>
                <w:b/>
                <w:kern w:val="0"/>
              </w:rPr>
              <w:t>-</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4201" w:type="dxa"/>
            <w:gridSpan w:val="4"/>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hint="eastAsia" w:ascii="仿宋_GB2312" w:hAnsi="宋体" w:eastAsia="仿宋_GB2312"/>
                <w:b/>
                <w:kern w:val="0"/>
              </w:rPr>
              <w:t>总计</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212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color w:val="000000"/>
                <w:kern w:val="0"/>
              </w:rPr>
            </w:pPr>
            <w:r>
              <w:rPr>
                <w:rFonts w:hint="eastAsia" w:ascii="等线" w:hAnsi="等线" w:eastAsia="等线"/>
                <w:b/>
                <w:color w:val="000000"/>
                <w:sz w:val="22"/>
                <w:szCs w:val="22"/>
              </w:rPr>
              <w:t>3816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等线" w:hAnsi="等线" w:eastAsia="等线"/>
                <w:b/>
                <w:color w:val="000000"/>
                <w:sz w:val="22"/>
                <w:szCs w:val="22"/>
              </w:rPr>
              <w:t>37</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ascii="仿宋_GB2312" w:hAnsi="宋体" w:eastAsia="仿宋_GB2312"/>
                <w:b/>
                <w:kern w:val="0"/>
              </w:rPr>
              <w:t>-</w:t>
            </w:r>
            <w:r>
              <w:rPr>
                <w:rFonts w:hint="eastAsia" w:ascii="仿宋_GB2312" w:hAnsi="宋体" w:eastAsia="仿宋_GB2312"/>
                <w:b/>
                <w:kern w:val="0"/>
              </w:rPr>
              <w:t>-</w:t>
            </w:r>
            <w:r>
              <w:rPr>
                <w:rFonts w:ascii="仿宋_GB2312" w:hAnsi="宋体" w:eastAsia="仿宋_GB2312"/>
                <w:b/>
                <w:kern w:val="0"/>
              </w:rPr>
              <w:t>-</w:t>
            </w:r>
          </w:p>
        </w:tc>
        <w:tc>
          <w:tcPr>
            <w:tcW w:w="701" w:type="dxa"/>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r>
              <w:rPr>
                <w:rFonts w:hint="eastAsia" w:ascii="仿宋_GB2312" w:hAnsi="宋体" w:eastAsia="仿宋_GB2312"/>
                <w:b/>
                <w:bCs/>
                <w:kern w:val="0"/>
              </w:rPr>
              <w:t>1</w:t>
            </w:r>
            <w:r>
              <w:rPr>
                <w:rFonts w:ascii="仿宋_GB2312" w:hAnsi="宋体" w:eastAsia="仿宋_GB2312"/>
                <w:b/>
                <w:bCs/>
                <w:kern w:val="0"/>
              </w:rPr>
              <w:t>00%</w:t>
            </w:r>
          </w:p>
        </w:tc>
      </w:tr>
    </w:tbl>
    <w:p>
      <w:pPr>
        <w:spacing w:beforeLines="0" w:after="0" w:afterAutospacing="0" w:line="240" w:lineRule="auto"/>
        <w:ind w:firstLine="480"/>
        <w:rPr>
          <w:rFonts w:ascii="仿宋" w:hAnsi="仿宋" w:eastAsia="仿宋"/>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851" w:footer="992" w:gutter="0"/>
      <w:pgNumType w:start="1"/>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3181654"/>
      <w:docPartObj>
        <w:docPartGallery w:val="autotext"/>
      </w:docPartObj>
    </w:sdtPr>
    <w:sdtContent>
      <w:p>
        <w:pPr>
          <w:pStyle w:val="6"/>
          <w:spacing w:before="120"/>
          <w:ind w:firstLine="360"/>
          <w:jc w:val="center"/>
        </w:pPr>
        <w:r>
          <w:fldChar w:fldCharType="begin"/>
        </w:r>
        <w:r>
          <w:instrText xml:space="preserve">PAGE   \* MERGEFORMAT</w:instrText>
        </w:r>
        <w:r>
          <w:fldChar w:fldCharType="separate"/>
        </w:r>
        <w:r>
          <w:rPr>
            <w:lang w:val="zh-CN"/>
          </w:rPr>
          <w:t>2</w:t>
        </w:r>
        <w:r>
          <w:fldChar w:fldCharType="end"/>
        </w:r>
      </w:p>
    </w:sdtContent>
  </w:sdt>
  <w:p>
    <w:pPr>
      <w:pStyle w:val="6"/>
      <w:spacing w:before="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3C8A81"/>
    <w:multiLevelType w:val="singleLevel"/>
    <w:tmpl w:val="C83C8A81"/>
    <w:lvl w:ilvl="0" w:tentative="0">
      <w:start w:val="7"/>
      <w:numFmt w:val="chineseCounting"/>
      <w:suff w:val="nothing"/>
      <w:lvlText w:val="（%1）"/>
      <w:lvlJc w:val="left"/>
      <w:rPr>
        <w:rFonts w:hint="eastAsia"/>
      </w:rPr>
    </w:lvl>
  </w:abstractNum>
  <w:abstractNum w:abstractNumId="1">
    <w:nsid w:val="08A541FB"/>
    <w:multiLevelType w:val="multilevel"/>
    <w:tmpl w:val="08A541F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0F37E25"/>
    <w:multiLevelType w:val="multilevel"/>
    <w:tmpl w:val="10F37E2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6406875"/>
    <w:multiLevelType w:val="multilevel"/>
    <w:tmpl w:val="3640687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68183F44"/>
    <w:multiLevelType w:val="multilevel"/>
    <w:tmpl w:val="68183F44"/>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5">
    <w:nsid w:val="79835DFB"/>
    <w:multiLevelType w:val="multilevel"/>
    <w:tmpl w:val="79835DFB"/>
    <w:lvl w:ilvl="0" w:tentative="0">
      <w:start w:val="1"/>
      <w:numFmt w:val="decimal"/>
      <w:lvlText w:val="%1)"/>
      <w:lvlJc w:val="left"/>
      <w:pPr>
        <w:ind w:left="982" w:hanging="420"/>
      </w:pPr>
    </w:lvl>
    <w:lvl w:ilvl="1" w:tentative="0">
      <w:start w:val="1"/>
      <w:numFmt w:val="decimal"/>
      <w:lvlText w:val="（%2）"/>
      <w:lvlJc w:val="left"/>
      <w:pPr>
        <w:ind w:left="1702" w:hanging="720"/>
      </w:pPr>
      <w:rPr>
        <w:rFonts w:hint="default"/>
      </w:r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YTBiNDc2ZTYzZDE2MDM5MmJiYWY4YmNhNTNlMjQifQ=="/>
  </w:docVars>
  <w:rsids>
    <w:rsidRoot w:val="00F96AAF"/>
    <w:rsid w:val="000202F6"/>
    <w:rsid w:val="00026C12"/>
    <w:rsid w:val="00027DA8"/>
    <w:rsid w:val="00041BC3"/>
    <w:rsid w:val="00045E04"/>
    <w:rsid w:val="0004780C"/>
    <w:rsid w:val="00064136"/>
    <w:rsid w:val="00074689"/>
    <w:rsid w:val="0007796B"/>
    <w:rsid w:val="000C2162"/>
    <w:rsid w:val="000E2192"/>
    <w:rsid w:val="00115E99"/>
    <w:rsid w:val="00127CE9"/>
    <w:rsid w:val="001333AD"/>
    <w:rsid w:val="00157127"/>
    <w:rsid w:val="00187AC5"/>
    <w:rsid w:val="00210F0F"/>
    <w:rsid w:val="00230390"/>
    <w:rsid w:val="00231775"/>
    <w:rsid w:val="00253B4B"/>
    <w:rsid w:val="00257BBA"/>
    <w:rsid w:val="00264402"/>
    <w:rsid w:val="002B3FB5"/>
    <w:rsid w:val="002D62FC"/>
    <w:rsid w:val="002E57AD"/>
    <w:rsid w:val="002E73CB"/>
    <w:rsid w:val="002F7960"/>
    <w:rsid w:val="002F7C27"/>
    <w:rsid w:val="00327DAC"/>
    <w:rsid w:val="00363994"/>
    <w:rsid w:val="00382332"/>
    <w:rsid w:val="00395F24"/>
    <w:rsid w:val="003A1B02"/>
    <w:rsid w:val="003F010C"/>
    <w:rsid w:val="003F3F79"/>
    <w:rsid w:val="00425D47"/>
    <w:rsid w:val="004432FB"/>
    <w:rsid w:val="00466693"/>
    <w:rsid w:val="00496471"/>
    <w:rsid w:val="004C3152"/>
    <w:rsid w:val="004D22B6"/>
    <w:rsid w:val="00502CD8"/>
    <w:rsid w:val="00516E25"/>
    <w:rsid w:val="00546A03"/>
    <w:rsid w:val="00566865"/>
    <w:rsid w:val="005B095D"/>
    <w:rsid w:val="005D7908"/>
    <w:rsid w:val="005E2A12"/>
    <w:rsid w:val="0060260C"/>
    <w:rsid w:val="00606DD1"/>
    <w:rsid w:val="006142F9"/>
    <w:rsid w:val="0061609A"/>
    <w:rsid w:val="0065301F"/>
    <w:rsid w:val="0065377A"/>
    <w:rsid w:val="00660938"/>
    <w:rsid w:val="006618D3"/>
    <w:rsid w:val="00685EEC"/>
    <w:rsid w:val="00694587"/>
    <w:rsid w:val="00695801"/>
    <w:rsid w:val="006D0EBE"/>
    <w:rsid w:val="006D4088"/>
    <w:rsid w:val="00700A43"/>
    <w:rsid w:val="00703FAC"/>
    <w:rsid w:val="00722355"/>
    <w:rsid w:val="00736945"/>
    <w:rsid w:val="00774FA0"/>
    <w:rsid w:val="00792E26"/>
    <w:rsid w:val="00794662"/>
    <w:rsid w:val="007C1FD4"/>
    <w:rsid w:val="007C28C0"/>
    <w:rsid w:val="00811330"/>
    <w:rsid w:val="00811E07"/>
    <w:rsid w:val="00830A9C"/>
    <w:rsid w:val="008664FC"/>
    <w:rsid w:val="008A338C"/>
    <w:rsid w:val="008A3745"/>
    <w:rsid w:val="008A6407"/>
    <w:rsid w:val="008D11C3"/>
    <w:rsid w:val="008F04B8"/>
    <w:rsid w:val="008F28F8"/>
    <w:rsid w:val="008F3F32"/>
    <w:rsid w:val="00994D7A"/>
    <w:rsid w:val="00996888"/>
    <w:rsid w:val="009A4285"/>
    <w:rsid w:val="009D1756"/>
    <w:rsid w:val="009E58C1"/>
    <w:rsid w:val="00A21082"/>
    <w:rsid w:val="00A25216"/>
    <w:rsid w:val="00A32A1B"/>
    <w:rsid w:val="00A36693"/>
    <w:rsid w:val="00A94C48"/>
    <w:rsid w:val="00AA2E73"/>
    <w:rsid w:val="00AB4448"/>
    <w:rsid w:val="00B10B41"/>
    <w:rsid w:val="00B352D3"/>
    <w:rsid w:val="00B73AD0"/>
    <w:rsid w:val="00B8608B"/>
    <w:rsid w:val="00B9475C"/>
    <w:rsid w:val="00BB2110"/>
    <w:rsid w:val="00BD4024"/>
    <w:rsid w:val="00BE3700"/>
    <w:rsid w:val="00BF4992"/>
    <w:rsid w:val="00BF525F"/>
    <w:rsid w:val="00C0502B"/>
    <w:rsid w:val="00C274EC"/>
    <w:rsid w:val="00C47D1C"/>
    <w:rsid w:val="00C703E5"/>
    <w:rsid w:val="00C83ADA"/>
    <w:rsid w:val="00C8622C"/>
    <w:rsid w:val="00CA28D7"/>
    <w:rsid w:val="00CC0F87"/>
    <w:rsid w:val="00CC56E5"/>
    <w:rsid w:val="00CD428F"/>
    <w:rsid w:val="00CD6F82"/>
    <w:rsid w:val="00CF3130"/>
    <w:rsid w:val="00CF7255"/>
    <w:rsid w:val="00CF7C83"/>
    <w:rsid w:val="00D03358"/>
    <w:rsid w:val="00D50F99"/>
    <w:rsid w:val="00D724EB"/>
    <w:rsid w:val="00D93BF8"/>
    <w:rsid w:val="00D95173"/>
    <w:rsid w:val="00D973E5"/>
    <w:rsid w:val="00DB202E"/>
    <w:rsid w:val="00DC4761"/>
    <w:rsid w:val="00DC5599"/>
    <w:rsid w:val="00DE3E4F"/>
    <w:rsid w:val="00DE7BD8"/>
    <w:rsid w:val="00E047D8"/>
    <w:rsid w:val="00E12F23"/>
    <w:rsid w:val="00E644BA"/>
    <w:rsid w:val="00E72BA9"/>
    <w:rsid w:val="00EA02CC"/>
    <w:rsid w:val="00F17C28"/>
    <w:rsid w:val="00F30A31"/>
    <w:rsid w:val="00F41BFB"/>
    <w:rsid w:val="00F67396"/>
    <w:rsid w:val="00F96AAF"/>
    <w:rsid w:val="00FD0CC2"/>
    <w:rsid w:val="00FD248E"/>
    <w:rsid w:val="0E814C5D"/>
    <w:rsid w:val="371E2246"/>
    <w:rsid w:val="471D1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100" w:afterAutospacing="1"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20"/>
    <w:qFormat/>
    <w:uiPriority w:val="9"/>
    <w:pPr>
      <w:keepNext/>
      <w:keepLines/>
      <w:spacing w:before="156" w:after="330" w:line="578" w:lineRule="auto"/>
      <w:ind w:firstLine="883"/>
      <w:outlineLvl w:val="0"/>
    </w:pPr>
    <w:rPr>
      <w:rFonts w:eastAsia="黑体"/>
      <w:b/>
      <w:bCs/>
      <w:kern w:val="44"/>
      <w:sz w:val="36"/>
      <w:szCs w:val="44"/>
    </w:rPr>
  </w:style>
  <w:style w:type="paragraph" w:styleId="3">
    <w:name w:val="heading 2"/>
    <w:basedOn w:val="1"/>
    <w:next w:val="1"/>
    <w:link w:val="31"/>
    <w:unhideWhenUsed/>
    <w:qFormat/>
    <w:uiPriority w:val="9"/>
    <w:pPr>
      <w:keepNext/>
      <w:keepLines/>
      <w:spacing w:before="100" w:beforeLines="100" w:after="50" w:afterLines="50" w:afterAutospacing="0" w:line="415" w:lineRule="auto"/>
      <w:outlineLvl w:val="1"/>
    </w:pPr>
    <w:rPr>
      <w:rFonts w:eastAsia="楷体" w:asciiTheme="majorHAnsi" w:hAnsiTheme="majorHAnsi" w:cstheme="majorBidi"/>
      <w:b/>
      <w:bCs/>
      <w:szCs w:val="32"/>
    </w:rPr>
  </w:style>
  <w:style w:type="paragraph" w:styleId="4">
    <w:name w:val="heading 3"/>
    <w:basedOn w:val="1"/>
    <w:next w:val="1"/>
    <w:link w:val="34"/>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26"/>
    <w:semiHidden/>
    <w:unhideWhenUsed/>
    <w:qFormat/>
    <w:uiPriority w:val="99"/>
    <w:pPr>
      <w:spacing w:beforeLines="0" w:after="0" w:afterAutospacing="0" w:line="240" w:lineRule="auto"/>
      <w:ind w:left="100" w:leftChars="2500" w:firstLine="0" w:firstLineChars="0"/>
    </w:pPr>
    <w:rPr>
      <w:rFonts w:asciiTheme="minorHAnsi" w:hAnsiTheme="minorHAnsi" w:eastAsiaTheme="minorEastAsia" w:cstheme="minorBidi"/>
      <w:sz w:val="21"/>
      <w:szCs w:val="22"/>
    </w:rPr>
  </w:style>
  <w:style w:type="paragraph" w:styleId="6">
    <w:name w:val="footer"/>
    <w:basedOn w:val="1"/>
    <w:link w:val="18"/>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toc 1"/>
    <w:basedOn w:val="1"/>
    <w:next w:val="1"/>
    <w:unhideWhenUsed/>
    <w:qFormat/>
    <w:uiPriority w:val="39"/>
    <w:pPr>
      <w:tabs>
        <w:tab w:val="right" w:leader="dot" w:pos="8296"/>
      </w:tabs>
      <w:spacing w:before="156" w:after="0" w:afterAutospacing="0" w:line="240" w:lineRule="auto"/>
      <w:ind w:firstLine="480"/>
    </w:pPr>
  </w:style>
  <w:style w:type="paragraph" w:styleId="9">
    <w:name w:val="toc 2"/>
    <w:basedOn w:val="1"/>
    <w:next w:val="1"/>
    <w:unhideWhenUsed/>
    <w:qFormat/>
    <w:uiPriority w:val="39"/>
    <w:pPr>
      <w:tabs>
        <w:tab w:val="right" w:leader="dot" w:pos="8296"/>
      </w:tabs>
      <w:spacing w:before="163" w:line="240" w:lineRule="auto"/>
      <w:ind w:left="480" w:leftChars="200" w:firstLine="480"/>
    </w:pPr>
  </w:style>
  <w:style w:type="paragraph" w:styleId="10">
    <w:name w:val="HTML Preformatted"/>
    <w:basedOn w:val="1"/>
    <w:link w:val="2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0" w:afterAutospacing="0" w:line="240" w:lineRule="auto"/>
      <w:ind w:firstLine="0" w:firstLineChars="0"/>
      <w:jc w:val="left"/>
    </w:pPr>
    <w:rPr>
      <w:rFonts w:ascii="宋体" w:hAnsi="宋体" w:cs="宋体" w:eastAsiaTheme="minorEastAsia"/>
      <w:kern w:val="0"/>
      <w:szCs w:val="22"/>
    </w:rPr>
  </w:style>
  <w:style w:type="paragraph" w:styleId="11">
    <w:name w:val="Normal (Web)"/>
    <w:basedOn w:val="1"/>
    <w:unhideWhenUsed/>
    <w:qFormat/>
    <w:uiPriority w:val="99"/>
    <w:pPr>
      <w:widowControl/>
      <w:spacing w:before="100" w:beforeLines="0" w:beforeAutospacing="1" w:line="240" w:lineRule="auto"/>
      <w:ind w:firstLine="0" w:firstLineChars="0"/>
      <w:jc w:val="left"/>
    </w:pPr>
    <w:rPr>
      <w:rFonts w:ascii="宋体" w:hAnsi="宋体" w:cs="宋体"/>
      <w:kern w:val="0"/>
    </w:rPr>
  </w:style>
  <w:style w:type="table" w:styleId="13">
    <w:name w:val="Table Grid"/>
    <w:basedOn w:val="12"/>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customStyle="1" w:styleId="16">
    <w:name w:val="15"/>
    <w:basedOn w:val="14"/>
    <w:qFormat/>
    <w:uiPriority w:val="0"/>
    <w:rPr>
      <w:rFonts w:hint="default" w:ascii="Times New Roman" w:hAnsi="Times New Roman" w:cs="Times New Roman"/>
      <w:b/>
      <w:bCs/>
    </w:rPr>
  </w:style>
  <w:style w:type="character" w:customStyle="1" w:styleId="17">
    <w:name w:val="页眉 字符"/>
    <w:basedOn w:val="14"/>
    <w:link w:val="7"/>
    <w:qFormat/>
    <w:uiPriority w:val="99"/>
    <w:rPr>
      <w:rFonts w:ascii="Times New Roman" w:hAnsi="Times New Roman" w:eastAsia="宋体" w:cs="Times New Roman"/>
      <w:sz w:val="18"/>
      <w:szCs w:val="18"/>
    </w:rPr>
  </w:style>
  <w:style w:type="character" w:customStyle="1" w:styleId="18">
    <w:name w:val="页脚 字符"/>
    <w:basedOn w:val="14"/>
    <w:link w:val="6"/>
    <w:qFormat/>
    <w:uiPriority w:val="99"/>
    <w:rPr>
      <w:rFonts w:ascii="Times New Roman" w:hAnsi="Times New Roman" w:eastAsia="宋体" w:cs="Times New Roman"/>
      <w:sz w:val="18"/>
      <w:szCs w:val="18"/>
    </w:rPr>
  </w:style>
  <w:style w:type="paragraph" w:customStyle="1" w:styleId="19">
    <w:name w:val="正文（1）"/>
    <w:basedOn w:val="1"/>
    <w:qFormat/>
    <w:uiPriority w:val="0"/>
    <w:pPr>
      <w:spacing w:before="50" w:after="0" w:afterAutospacing="0"/>
      <w:ind w:firstLine="420"/>
    </w:pPr>
    <w:rPr>
      <w:rFonts w:asciiTheme="minorHAnsi" w:hAnsiTheme="minorHAnsi" w:cstheme="minorBidi"/>
      <w:szCs w:val="22"/>
    </w:rPr>
  </w:style>
  <w:style w:type="character" w:customStyle="1" w:styleId="20">
    <w:name w:val="标题 1 字符"/>
    <w:basedOn w:val="14"/>
    <w:link w:val="2"/>
    <w:qFormat/>
    <w:uiPriority w:val="9"/>
    <w:rPr>
      <w:rFonts w:ascii="Times New Roman" w:hAnsi="Times New Roman" w:eastAsia="黑体" w:cs="Times New Roman"/>
      <w:b/>
      <w:bCs/>
      <w:kern w:val="44"/>
      <w:sz w:val="36"/>
      <w:szCs w:val="44"/>
    </w:rPr>
  </w:style>
  <w:style w:type="paragraph" w:styleId="21">
    <w:name w:val="List Paragraph"/>
    <w:basedOn w:val="1"/>
    <w:qFormat/>
    <w:uiPriority w:val="99"/>
    <w:pPr>
      <w:ind w:firstLine="420"/>
    </w:pPr>
  </w:style>
  <w:style w:type="paragraph" w:customStyle="1" w:styleId="22">
    <w:name w:val="二级标题"/>
    <w:basedOn w:val="1"/>
    <w:qFormat/>
    <w:uiPriority w:val="0"/>
    <w:pPr>
      <w:spacing w:after="0" w:afterAutospacing="0"/>
      <w:ind w:firstLine="0" w:firstLineChars="0"/>
    </w:pPr>
    <w:rPr>
      <w:rFonts w:eastAsia="楷体" w:asciiTheme="minorHAnsi" w:hAnsiTheme="minorHAnsi" w:cstheme="minorBidi"/>
      <w:b/>
      <w:szCs w:val="22"/>
    </w:rPr>
  </w:style>
  <w:style w:type="paragraph" w:customStyle="1" w:styleId="23">
    <w:name w:val="三级标题"/>
    <w:basedOn w:val="1"/>
    <w:qFormat/>
    <w:uiPriority w:val="0"/>
    <w:pPr>
      <w:spacing w:after="0" w:afterAutospacing="0"/>
      <w:ind w:firstLine="420"/>
    </w:pPr>
    <w:rPr>
      <w:rFonts w:ascii="宋体" w:hAnsi="宋体" w:cstheme="minorBidi"/>
      <w:b/>
      <w:sz w:val="28"/>
      <w:szCs w:val="22"/>
    </w:rPr>
  </w:style>
  <w:style w:type="character" w:customStyle="1" w:styleId="24">
    <w:name w:val="HTML 预设格式 字符"/>
    <w:basedOn w:val="14"/>
    <w:link w:val="10"/>
    <w:semiHidden/>
    <w:qFormat/>
    <w:uiPriority w:val="99"/>
    <w:rPr>
      <w:rFonts w:ascii="宋体" w:hAnsi="宋体" w:cs="宋体"/>
      <w:kern w:val="0"/>
      <w:sz w:val="24"/>
    </w:rPr>
  </w:style>
  <w:style w:type="paragraph" w:customStyle="1" w:styleId="25">
    <w:name w:val="msonormal"/>
    <w:basedOn w:val="1"/>
    <w:qFormat/>
    <w:uiPriority w:val="0"/>
    <w:pPr>
      <w:widowControl/>
      <w:spacing w:before="100" w:beforeLines="0" w:beforeAutospacing="1" w:line="240" w:lineRule="auto"/>
      <w:ind w:firstLine="0" w:firstLineChars="0"/>
      <w:jc w:val="left"/>
    </w:pPr>
    <w:rPr>
      <w:rFonts w:ascii="宋体" w:hAnsi="宋体" w:cs="宋体"/>
      <w:kern w:val="0"/>
    </w:rPr>
  </w:style>
  <w:style w:type="character" w:customStyle="1" w:styleId="26">
    <w:name w:val="日期 字符"/>
    <w:basedOn w:val="14"/>
    <w:link w:val="5"/>
    <w:semiHidden/>
    <w:qFormat/>
    <w:uiPriority w:val="99"/>
  </w:style>
  <w:style w:type="paragraph" w:customStyle="1" w:styleId="27">
    <w:name w:val="封面"/>
    <w:basedOn w:val="1"/>
    <w:qFormat/>
    <w:uiPriority w:val="0"/>
    <w:pPr>
      <w:adjustRightInd w:val="0"/>
      <w:snapToGrid w:val="0"/>
      <w:spacing w:beforeLines="0" w:after="0" w:afterAutospacing="0"/>
      <w:ind w:firstLine="0" w:firstLineChars="0"/>
      <w:jc w:val="center"/>
    </w:pPr>
    <w:rPr>
      <w:rFonts w:ascii="黑体" w:hAnsi="黑体" w:eastAsia="黑体" w:cstheme="minorBidi"/>
      <w:sz w:val="48"/>
      <w:szCs w:val="48"/>
    </w:rPr>
  </w:style>
  <w:style w:type="character" w:customStyle="1" w:styleId="28">
    <w:name w:val="页脚样式 字符"/>
    <w:link w:val="29"/>
    <w:qFormat/>
    <w:locked/>
    <w:uiPriority w:val="0"/>
    <w:rPr>
      <w:rFonts w:ascii="仿宋" w:hAnsi="等线" w:eastAsia="仿宋"/>
    </w:rPr>
  </w:style>
  <w:style w:type="paragraph" w:customStyle="1" w:styleId="29">
    <w:name w:val="页脚样式"/>
    <w:basedOn w:val="6"/>
    <w:link w:val="28"/>
    <w:qFormat/>
    <w:uiPriority w:val="0"/>
    <w:pPr>
      <w:adjustRightInd w:val="0"/>
      <w:spacing w:beforeLines="0" w:after="0" w:afterAutospacing="0"/>
      <w:ind w:firstLine="0" w:firstLineChars="0"/>
      <w:jc w:val="center"/>
    </w:pPr>
    <w:rPr>
      <w:rFonts w:ascii="仿宋" w:hAnsi="等线" w:eastAsia="仿宋" w:cstheme="minorBidi"/>
      <w:sz w:val="21"/>
      <w:szCs w:val="22"/>
    </w:rPr>
  </w:style>
  <w:style w:type="paragraph" w:customStyle="1" w:styleId="30">
    <w:name w:val="一级标题"/>
    <w:basedOn w:val="19"/>
    <w:qFormat/>
    <w:uiPriority w:val="0"/>
    <w:pPr>
      <w:spacing w:before="0"/>
      <w:ind w:firstLine="0" w:firstLineChars="0"/>
    </w:pPr>
    <w:rPr>
      <w:rFonts w:eastAsia="黑体"/>
      <w:b/>
      <w:sz w:val="30"/>
    </w:rPr>
  </w:style>
  <w:style w:type="character" w:customStyle="1" w:styleId="31">
    <w:name w:val="标题 2 字符"/>
    <w:basedOn w:val="14"/>
    <w:link w:val="3"/>
    <w:qFormat/>
    <w:uiPriority w:val="9"/>
    <w:rPr>
      <w:rFonts w:eastAsia="楷体" w:asciiTheme="majorHAnsi" w:hAnsiTheme="majorHAnsi" w:cstheme="majorBidi"/>
      <w:b/>
      <w:bCs/>
      <w:sz w:val="24"/>
      <w:szCs w:val="32"/>
    </w:rPr>
  </w:style>
  <w:style w:type="paragraph" w:customStyle="1" w:styleId="32">
    <w:name w:val="TOC Heading"/>
    <w:basedOn w:val="2"/>
    <w:next w:val="1"/>
    <w:unhideWhenUsed/>
    <w:qFormat/>
    <w:uiPriority w:val="39"/>
    <w:pPr>
      <w:widowControl/>
      <w:spacing w:before="240" w:beforeLines="0" w:after="0" w:afterAutospacing="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3">
    <w:name w:val="标题1"/>
    <w:basedOn w:val="2"/>
    <w:next w:val="30"/>
    <w:qFormat/>
    <w:uiPriority w:val="0"/>
    <w:pPr>
      <w:spacing w:before="326" w:beforeLines="100" w:after="163" w:afterLines="50" w:afterAutospacing="0" w:line="240" w:lineRule="auto"/>
      <w:ind w:firstLine="602"/>
    </w:pPr>
    <w:rPr>
      <w:sz w:val="30"/>
    </w:rPr>
  </w:style>
  <w:style w:type="character" w:customStyle="1" w:styleId="34">
    <w:name w:val="标题 3 字符"/>
    <w:basedOn w:val="14"/>
    <w:link w:val="4"/>
    <w:semiHidden/>
    <w:qFormat/>
    <w:uiPriority w:val="9"/>
    <w:rPr>
      <w:rFonts w:ascii="Times New Roman" w:hAnsi="Times New Roman" w:eastAsia="宋体" w:cs="Times New Roman"/>
      <w:b/>
      <w:bCs/>
      <w:sz w:val="32"/>
      <w:szCs w:val="32"/>
    </w:rPr>
  </w:style>
  <w:style w:type="table" w:customStyle="1" w:styleId="35">
    <w:name w:val="网格型2"/>
    <w:basedOn w:val="12"/>
    <w:qFormat/>
    <w:uiPriority w:val="0"/>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1FB7-AC61-4815-986C-045C14556561}">
  <ds:schemaRefs/>
</ds:datastoreItem>
</file>

<file path=docProps/app.xml><?xml version="1.0" encoding="utf-8"?>
<Properties xmlns="http://schemas.openxmlformats.org/officeDocument/2006/extended-properties" xmlns:vt="http://schemas.openxmlformats.org/officeDocument/2006/docPropsVTypes">
  <Template>Normal</Template>
  <Pages>33</Pages>
  <Words>23008</Words>
  <Characters>23893</Characters>
  <Lines>199</Lines>
  <Paragraphs>56</Paragraphs>
  <TotalTime>4</TotalTime>
  <ScaleCrop>false</ScaleCrop>
  <LinksUpToDate>false</LinksUpToDate>
  <CharactersWithSpaces>24272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2023-03-06T14:14:00Z</dcterms:created>
  <dc:creator>D F</dc:creator>
  <cp:lastModifiedBy>快鱼吃大鱼</cp:lastModifiedBy>
  <cp:lastPrinted>2023-05-18T17:58:00Z</cp:lastPrinted>
  <dcterms:modified xsi:type="dcterms:W3CDTF">2023-05-19T02:46:54Z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F1B02BECFBD7459B80F666F361F964DA_12</vt:lpwstr>
  </property>
</Properties>
</file>